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FB58DA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531BE8" w:rsidRDefault="00CE39EA" w:rsidP="00531BE8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531BE8">
              <w:rPr>
                <w:rFonts w:cs="Times New Roman"/>
                <w:color w:val="050505"/>
                <w:lang w:val="it-IT"/>
              </w:rPr>
              <w:t>Costituisce</w:t>
            </w:r>
            <w:r w:rsidRPr="00531BE8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parte</w:t>
            </w:r>
            <w:r w:rsidRPr="00531BE8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integrante</w:t>
            </w:r>
            <w:r w:rsidRPr="00531BE8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della</w:t>
            </w:r>
            <w:r w:rsidRPr="00531BE8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F1608D" w:rsidRPr="00531BE8">
              <w:rPr>
                <w:rFonts w:ascii="Calibri" w:hAnsi="Calibri" w:cs="Calibri"/>
                <w:lang w:val="it-IT"/>
              </w:rPr>
              <w:t xml:space="preserve">gara a </w:t>
            </w:r>
            <w:r w:rsidR="00531BE8" w:rsidRPr="00531BE8">
              <w:rPr>
                <w:rFonts w:ascii="Calibri" w:hAnsi="Calibri" w:cs="Calibri"/>
                <w:lang w:val="it-IT"/>
              </w:rPr>
              <w:t xml:space="preserve">procedura negoziata sotto soglia per l’affidamento della fornitura di un sistema di sorgenti laser da installare presso la sede di Pisa dell’Istituto Nanoscienze del Consiglio Nazionale delle Ricerche - Codice identificativo gara (CIG): </w:t>
            </w:r>
            <w:r w:rsidR="00FB58DA" w:rsidRPr="00FB58DA">
              <w:rPr>
                <w:rFonts w:ascii="Calibri" w:eastAsia="Calibri" w:hAnsi="Calibri" w:cs="Calibri"/>
                <w:bCs/>
                <w:iCs/>
                <w:lang w:val="it-IT"/>
              </w:rPr>
              <w:t>7053878445</w:t>
            </w:r>
            <w:r w:rsidR="00FB58DA">
              <w:rPr>
                <w:rFonts w:ascii="Calibri" w:eastAsia="Calibri" w:hAnsi="Calibri" w:cs="Calibri"/>
                <w:bCs/>
                <w:iCs/>
                <w:lang w:val="it-IT"/>
              </w:rPr>
              <w:t>;</w:t>
            </w:r>
            <w:r w:rsidR="00FB58DA" w:rsidRPr="00FB58DA">
              <w:rPr>
                <w:rFonts w:ascii="Calibri" w:eastAsia="Calibri" w:hAnsi="Calibri" w:cs="Calibri"/>
                <w:b/>
                <w:bCs/>
                <w:i/>
                <w:iCs/>
                <w:lang w:val="it-IT"/>
              </w:rPr>
              <w:t xml:space="preserve"> </w:t>
            </w:r>
            <w:r w:rsidR="00531BE8" w:rsidRPr="00531BE8">
              <w:rPr>
                <w:rFonts w:ascii="Calibri" w:hAnsi="Calibri" w:cs="Calibri"/>
                <w:lang w:val="it-IT"/>
              </w:rPr>
              <w:t>Codice Unico di progetto (CUP): B52I16001740006</w:t>
            </w:r>
            <w:bookmarkStart w:id="0" w:name="_GoBack"/>
            <w:bookmarkEnd w:id="0"/>
            <w:r w:rsidR="00F1608D" w:rsidRPr="00531BE8">
              <w:rPr>
                <w:rFonts w:ascii="Calibri" w:hAnsi="Calibri" w:cs="Calibri"/>
                <w:lang w:val="it-IT"/>
              </w:rPr>
              <w:t>;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8B142B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L’</w:t>
      </w:r>
      <w:r w:rsidR="00E755E8" w:rsidRPr="00AA7B21">
        <w:rPr>
          <w:rFonts w:eastAsia="Times New Roman" w:cs="Times New Roman"/>
          <w:color w:val="050505"/>
          <w:lang w:val="it-IT"/>
        </w:rPr>
        <w:t xml:space="preserve">Istituto </w:t>
      </w:r>
      <w:r w:rsidR="00531BE8">
        <w:rPr>
          <w:rFonts w:eastAsia="Times New Roman" w:cs="Times New Roman"/>
          <w:color w:val="050505"/>
          <w:lang w:val="it-IT"/>
        </w:rPr>
        <w:t>Nanoscienze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 e/o CNR-</w:t>
      </w:r>
      <w:r w:rsidR="00531BE8">
        <w:rPr>
          <w:rFonts w:eastAsia="Times New Roman" w:cs="Times New Roman"/>
          <w:color w:val="050505"/>
          <w:lang w:val="it-IT"/>
        </w:rPr>
        <w:t>NANO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 xml:space="preserve">del Consiglio Nazionale </w:t>
      </w:r>
      <w:r w:rsidR="00EF1DE8" w:rsidRPr="00AA7B21">
        <w:rPr>
          <w:rFonts w:eastAsia="Times New Roman"/>
          <w:lang w:val="it-IT"/>
        </w:rPr>
        <w:lastRenderedPageBreak/>
        <w:t>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6A634B">
        <w:rPr>
          <w:rFonts w:asciiTheme="minorHAnsi" w:hAnsiTheme="minorHAnsi"/>
          <w:color w:val="050505"/>
          <w:sz w:val="22"/>
          <w:szCs w:val="22"/>
          <w:lang w:val="it-IT"/>
        </w:rPr>
        <w:t>due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FB58DA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531BE8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La Direttrice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531BE8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531BE8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NANO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531BE8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Lucia SORBA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2" w:rsidRDefault="006A59C2">
      <w:r>
        <w:separator/>
      </w:r>
    </w:p>
  </w:endnote>
  <w:endnote w:type="continuationSeparator" w:id="0">
    <w:p w:rsidR="006A59C2" w:rsidRDefault="006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8DA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8DA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2" w:rsidRDefault="006A59C2">
      <w:r>
        <w:separator/>
      </w:r>
    </w:p>
  </w:footnote>
  <w:footnote w:type="continuationSeparator" w:id="0">
    <w:p w:rsidR="006A59C2" w:rsidRDefault="006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7543B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45FFD"/>
    <w:rsid w:val="0036032B"/>
    <w:rsid w:val="003931DD"/>
    <w:rsid w:val="003D092D"/>
    <w:rsid w:val="004C22A1"/>
    <w:rsid w:val="00531BE8"/>
    <w:rsid w:val="005523C9"/>
    <w:rsid w:val="00574C29"/>
    <w:rsid w:val="00594863"/>
    <w:rsid w:val="005D4665"/>
    <w:rsid w:val="00631DD3"/>
    <w:rsid w:val="00660B36"/>
    <w:rsid w:val="00680E61"/>
    <w:rsid w:val="006900D0"/>
    <w:rsid w:val="006A59C2"/>
    <w:rsid w:val="006A634B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D04AE"/>
    <w:rsid w:val="008E13E8"/>
    <w:rsid w:val="009215E1"/>
    <w:rsid w:val="009867F3"/>
    <w:rsid w:val="009A3D22"/>
    <w:rsid w:val="009B643B"/>
    <w:rsid w:val="00AA7B21"/>
    <w:rsid w:val="00B1596D"/>
    <w:rsid w:val="00B44017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B58D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imperatore</cp:lastModifiedBy>
  <cp:revision>5</cp:revision>
  <cp:lastPrinted>2016-09-26T06:44:00Z</cp:lastPrinted>
  <dcterms:created xsi:type="dcterms:W3CDTF">2017-04-20T08:28:00Z</dcterms:created>
  <dcterms:modified xsi:type="dcterms:W3CDTF">2017-05-11T14:15:00Z</dcterms:modified>
</cp:coreProperties>
</file>