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C162DC" w14:textId="77777777" w:rsidR="00627D1A" w:rsidRPr="0003029A" w:rsidRDefault="00627D1A" w:rsidP="00D91222">
      <w:pPr>
        <w:pStyle w:val="Titolo1"/>
      </w:pPr>
      <w:r w:rsidRPr="0003029A">
        <w:t>Modello Offerta Tecnica</w:t>
      </w:r>
      <w:r w:rsidR="0011463E">
        <w:t xml:space="preserve"> – Lotto </w:t>
      </w:r>
      <w:r w:rsidR="005603FA">
        <w:t>1 Border Firewall</w:t>
      </w:r>
    </w:p>
    <w:p w14:paraId="1EFA4540" w14:textId="50882BD4" w:rsidR="00627D1A" w:rsidRPr="0003029A" w:rsidRDefault="00627D1A">
      <w:pPr>
        <w:jc w:val="both"/>
      </w:pPr>
      <w:r w:rsidRPr="0003029A">
        <w:rPr>
          <w:rFonts w:cs="Times New Roman"/>
          <w:b/>
          <w:bCs/>
        </w:rPr>
        <w:t xml:space="preserve">Procedura aperta sopra soglia comunitaria con il criterio dell’offerta economicamente più vantaggiosa sulla base del miglior rapporto qualità/prezzo per l’affidamento di un contratto di fornitura di </w:t>
      </w:r>
      <w:r w:rsidR="00FD1BB7">
        <w:rPr>
          <w:rFonts w:cs="Times New Roman"/>
          <w:b/>
          <w:bCs/>
        </w:rPr>
        <w:t>una infrastruttura di networking</w:t>
      </w:r>
      <w:r w:rsidRPr="0003029A">
        <w:rPr>
          <w:rFonts w:cs="Times New Roman"/>
          <w:b/>
          <w:bCs/>
        </w:rPr>
        <w:t>. CIG</w:t>
      </w:r>
      <w:r w:rsidR="002A022D" w:rsidRPr="002A022D">
        <w:rPr>
          <w:rFonts w:cs="Times New Roman"/>
          <w:b/>
          <w:bCs/>
        </w:rPr>
        <w:t xml:space="preserve"> </w:t>
      </w:r>
      <w:r w:rsidR="000C7982" w:rsidRPr="00D05222">
        <w:rPr>
          <w:b/>
        </w:rPr>
        <w:t>8296137CD1</w:t>
      </w:r>
    </w:p>
    <w:p w14:paraId="023F6BFD" w14:textId="77777777" w:rsidR="00627D1A" w:rsidRPr="0003029A" w:rsidRDefault="00627D1A">
      <w:pPr>
        <w:rPr>
          <w:rFonts w:cs="Times New Roman"/>
          <w:b/>
          <w:bCs/>
        </w:rPr>
      </w:pPr>
    </w:p>
    <w:p w14:paraId="561E842D" w14:textId="705224AD" w:rsidR="00627D1A" w:rsidRPr="0003029A" w:rsidRDefault="00627D1A">
      <w:pPr>
        <w:spacing w:before="240" w:after="240"/>
        <w:jc w:val="center"/>
      </w:pPr>
      <w:r w:rsidRPr="0003029A">
        <w:rPr>
          <w:rFonts w:cs="Times New Roman"/>
          <w:b/>
          <w:bCs/>
        </w:rPr>
        <w:tab/>
      </w:r>
      <w:r w:rsidRPr="0003029A">
        <w:rPr>
          <w:rFonts w:cs="Times New Roman"/>
          <w:b/>
          <w:bCs/>
          <w:smallCaps/>
        </w:rPr>
        <w:t>DICHIARAZIONE DI OFFERTA TECNICA AI SENSI DEL DISCIPLINARE DI GARA</w:t>
      </w:r>
      <w:r w:rsidR="0009496D">
        <w:rPr>
          <w:rFonts w:cs="Times New Roman"/>
          <w:b/>
          <w:bCs/>
          <w:smallCaps/>
        </w:rPr>
        <w:t xml:space="preserve"> n. </w:t>
      </w:r>
      <w:r w:rsidR="0009496D" w:rsidRPr="0009496D">
        <w:rPr>
          <w:rFonts w:cs="Times New Roman"/>
          <w:b/>
          <w:bCs/>
          <w:smallCaps/>
        </w:rPr>
        <w:t>7759770</w:t>
      </w:r>
    </w:p>
    <w:p w14:paraId="6BC1A630" w14:textId="77777777" w:rsidR="00627D1A" w:rsidRPr="0003029A" w:rsidRDefault="00627D1A">
      <w:pPr>
        <w:autoSpaceDE w:val="0"/>
        <w:rPr>
          <w:rFonts w:eastAsia="Times-Bold" w:cs="Times New Roman"/>
          <w:sz w:val="16"/>
          <w:szCs w:val="16"/>
        </w:rPr>
      </w:pPr>
    </w:p>
    <w:p w14:paraId="7F11693C" w14:textId="77777777" w:rsidR="00627D1A" w:rsidRPr="0003029A" w:rsidRDefault="00627D1A">
      <w:pPr>
        <w:spacing w:line="360" w:lineRule="auto"/>
      </w:pPr>
      <w:r w:rsidRPr="0003029A">
        <w:rPr>
          <w:rFonts w:cs="Times New Roman"/>
          <w:sz w:val="22"/>
          <w:szCs w:val="22"/>
        </w:rPr>
        <w:t>Il/la sottoscritto/a ..................................................................................................................................</w:t>
      </w:r>
      <w:r w:rsidR="001916B3">
        <w:rPr>
          <w:rFonts w:cs="Times New Roman"/>
          <w:sz w:val="22"/>
          <w:szCs w:val="22"/>
        </w:rPr>
        <w:t>..............</w:t>
      </w:r>
    </w:p>
    <w:p w14:paraId="59FF0EEB" w14:textId="77777777" w:rsidR="00627D1A" w:rsidRPr="0003029A" w:rsidRDefault="00627D1A">
      <w:pPr>
        <w:spacing w:line="360" w:lineRule="auto"/>
      </w:pPr>
      <w:r w:rsidRPr="0003029A">
        <w:rPr>
          <w:rFonts w:cs="Times New Roman"/>
          <w:sz w:val="22"/>
          <w:szCs w:val="22"/>
        </w:rPr>
        <w:t>nato/a il ............................................ a..........................................................................(prov)............</w:t>
      </w:r>
      <w:r w:rsidR="001916B3">
        <w:rPr>
          <w:rFonts w:cs="Times New Roman"/>
          <w:sz w:val="22"/>
          <w:szCs w:val="22"/>
        </w:rPr>
        <w:t>................</w:t>
      </w:r>
    </w:p>
    <w:p w14:paraId="28EC2B68" w14:textId="77777777" w:rsidR="00627D1A" w:rsidRPr="0003029A" w:rsidRDefault="00627D1A">
      <w:pPr>
        <w:spacing w:line="360" w:lineRule="auto"/>
      </w:pPr>
      <w:r w:rsidRPr="0003029A">
        <w:rPr>
          <w:rFonts w:cs="Times New Roman"/>
          <w:sz w:val="22"/>
          <w:szCs w:val="22"/>
        </w:rPr>
        <w:t>residente a ........................................................................................................................(prov)............</w:t>
      </w:r>
      <w:r w:rsidR="001916B3">
        <w:rPr>
          <w:rFonts w:cs="Times New Roman"/>
          <w:sz w:val="22"/>
          <w:szCs w:val="22"/>
        </w:rPr>
        <w:t>.............</w:t>
      </w:r>
    </w:p>
    <w:p w14:paraId="074A0D0D" w14:textId="77777777" w:rsidR="00627D1A" w:rsidRPr="0003029A" w:rsidRDefault="00627D1A">
      <w:pPr>
        <w:spacing w:line="360" w:lineRule="auto"/>
      </w:pPr>
      <w:r w:rsidRPr="0003029A">
        <w:rPr>
          <w:rFonts w:cs="Times New Roman"/>
          <w:sz w:val="22"/>
          <w:szCs w:val="22"/>
        </w:rPr>
        <w:t>nella sua qualità di ……………………………………………………………………</w:t>
      </w:r>
      <w:proofErr w:type="gramStart"/>
      <w:r w:rsidRPr="0003029A">
        <w:rPr>
          <w:rFonts w:cs="Times New Roman"/>
          <w:sz w:val="22"/>
          <w:szCs w:val="22"/>
        </w:rPr>
        <w:t>…….</w:t>
      </w:r>
      <w:proofErr w:type="gramEnd"/>
      <w:r w:rsidRPr="0003029A">
        <w:rPr>
          <w:rFonts w:cs="Times New Roman"/>
          <w:sz w:val="22"/>
          <w:szCs w:val="22"/>
        </w:rPr>
        <w:t>.…..……………..</w:t>
      </w:r>
    </w:p>
    <w:p w14:paraId="3EE35E26" w14:textId="77777777" w:rsidR="00627D1A" w:rsidRPr="0003029A" w:rsidRDefault="00627D1A">
      <w:pPr>
        <w:spacing w:line="360" w:lineRule="auto"/>
      </w:pPr>
      <w:r w:rsidRPr="0003029A">
        <w:rPr>
          <w:rFonts w:cs="Times New Roman"/>
          <w:b/>
          <w:sz w:val="22"/>
          <w:szCs w:val="22"/>
        </w:rPr>
        <w:t xml:space="preserve">dell’impresa/società/altro soggetto </w:t>
      </w:r>
      <w:r w:rsidRPr="0003029A">
        <w:rPr>
          <w:rFonts w:cs="Times New Roman"/>
          <w:sz w:val="22"/>
          <w:szCs w:val="22"/>
        </w:rPr>
        <w:t>………………………………………………………………</w:t>
      </w:r>
      <w:proofErr w:type="gramStart"/>
      <w:r w:rsidRPr="0003029A">
        <w:rPr>
          <w:rFonts w:cs="Times New Roman"/>
          <w:sz w:val="22"/>
          <w:szCs w:val="22"/>
        </w:rPr>
        <w:t>…….</w:t>
      </w:r>
      <w:proofErr w:type="gramEnd"/>
      <w:r w:rsidRPr="0003029A">
        <w:rPr>
          <w:rFonts w:cs="Times New Roman"/>
          <w:sz w:val="22"/>
          <w:szCs w:val="22"/>
        </w:rPr>
        <w:t>………. con sede legale in………….....................…………………via …………</w:t>
      </w:r>
      <w:proofErr w:type="gramStart"/>
      <w:r w:rsidRPr="0003029A">
        <w:rPr>
          <w:rFonts w:cs="Times New Roman"/>
          <w:sz w:val="22"/>
          <w:szCs w:val="22"/>
        </w:rPr>
        <w:t>…….</w:t>
      </w:r>
      <w:proofErr w:type="gramEnd"/>
      <w:r w:rsidRPr="0003029A">
        <w:rPr>
          <w:rFonts w:cs="Times New Roman"/>
          <w:sz w:val="22"/>
          <w:szCs w:val="22"/>
        </w:rPr>
        <w:t>………………………………</w:t>
      </w:r>
      <w:r w:rsidR="001916B3">
        <w:rPr>
          <w:rFonts w:cs="Times New Roman"/>
          <w:sz w:val="22"/>
          <w:szCs w:val="22"/>
        </w:rPr>
        <w:t>………………..</w:t>
      </w:r>
    </w:p>
    <w:p w14:paraId="339FBB03" w14:textId="77777777" w:rsidR="00627D1A" w:rsidRPr="0003029A" w:rsidRDefault="001916B3">
      <w:pPr>
        <w:spacing w:line="360" w:lineRule="auto"/>
      </w:pPr>
      <w:r>
        <w:rPr>
          <w:rFonts w:cs="Times New Roman"/>
          <w:sz w:val="22"/>
          <w:szCs w:val="22"/>
        </w:rPr>
        <w:t>codice fiscale</w:t>
      </w:r>
      <w:r w:rsidR="00627D1A" w:rsidRPr="0003029A">
        <w:rPr>
          <w:rFonts w:cs="Times New Roman"/>
          <w:sz w:val="22"/>
          <w:szCs w:val="22"/>
        </w:rPr>
        <w:t>……………………</w:t>
      </w:r>
      <w:proofErr w:type="gramStart"/>
      <w:r w:rsidR="00627D1A" w:rsidRPr="0003029A">
        <w:rPr>
          <w:rFonts w:cs="Times New Roman"/>
          <w:sz w:val="22"/>
          <w:szCs w:val="22"/>
        </w:rPr>
        <w:t>…….</w:t>
      </w:r>
      <w:proofErr w:type="gramEnd"/>
      <w:r w:rsidR="00627D1A" w:rsidRPr="0003029A">
        <w:rPr>
          <w:rFonts w:cs="Times New Roman"/>
          <w:sz w:val="22"/>
          <w:szCs w:val="22"/>
        </w:rPr>
        <w:t>…………</w:t>
      </w:r>
      <w:proofErr w:type="spellStart"/>
      <w:r w:rsidR="00627D1A" w:rsidRPr="0003029A">
        <w:rPr>
          <w:rFonts w:cs="Times New Roman"/>
          <w:sz w:val="22"/>
          <w:szCs w:val="22"/>
        </w:rPr>
        <w:t>p..i</w:t>
      </w:r>
      <w:proofErr w:type="spellEnd"/>
      <w:r w:rsidR="00627D1A" w:rsidRPr="0003029A">
        <w:rPr>
          <w:rFonts w:cs="Times New Roman"/>
          <w:sz w:val="22"/>
          <w:szCs w:val="22"/>
        </w:rPr>
        <w:t>…………….………………………….………………….</w:t>
      </w:r>
    </w:p>
    <w:p w14:paraId="11D62873" w14:textId="77777777" w:rsidR="00627D1A" w:rsidRPr="0003029A" w:rsidRDefault="00627D1A">
      <w:pPr>
        <w:rPr>
          <w:rFonts w:cs="Times New Roman"/>
          <w:sz w:val="22"/>
          <w:szCs w:val="22"/>
        </w:rPr>
      </w:pPr>
    </w:p>
    <w:p w14:paraId="5FDA8CC2" w14:textId="77777777" w:rsidR="00627D1A" w:rsidRPr="0003029A" w:rsidRDefault="00627D1A">
      <w:pPr>
        <w:autoSpaceDE w:val="0"/>
        <w:ind w:firstLine="38"/>
        <w:jc w:val="both"/>
        <w:rPr>
          <w:rFonts w:eastAsia="Times-Roman" w:cs="Times New Roman"/>
          <w:sz w:val="22"/>
          <w:szCs w:val="22"/>
        </w:rPr>
      </w:pPr>
    </w:p>
    <w:p w14:paraId="5E56C52B" w14:textId="77777777" w:rsidR="00627D1A" w:rsidRPr="0003029A" w:rsidRDefault="00627D1A">
      <w:pPr>
        <w:widowControl/>
        <w:suppressAutoHyphens w:val="0"/>
        <w:autoSpaceDE w:val="0"/>
        <w:jc w:val="center"/>
        <w:rPr>
          <w:rFonts w:eastAsia="MS Mincho" w:cs="Times New Roman"/>
          <w:b/>
          <w:bCs/>
          <w:color w:val="000000"/>
          <w:sz w:val="22"/>
          <w:szCs w:val="22"/>
          <w:lang w:eastAsia="ja-JP"/>
        </w:rPr>
      </w:pPr>
    </w:p>
    <w:p w14:paraId="41D6E288" w14:textId="77777777" w:rsidR="00627D1A" w:rsidRPr="0003029A" w:rsidRDefault="00627D1A">
      <w:pPr>
        <w:widowControl/>
        <w:suppressAutoHyphens w:val="0"/>
        <w:autoSpaceDE w:val="0"/>
        <w:jc w:val="center"/>
      </w:pPr>
      <w:r w:rsidRPr="0003029A">
        <w:rPr>
          <w:rFonts w:eastAsia="MS Mincho" w:cs="Times New Roman"/>
          <w:b/>
          <w:bCs/>
          <w:color w:val="000000"/>
          <w:sz w:val="22"/>
          <w:szCs w:val="22"/>
          <w:lang w:eastAsia="ja-JP"/>
        </w:rPr>
        <w:t>DICHIARA</w:t>
      </w:r>
    </w:p>
    <w:p w14:paraId="6BBD4210" w14:textId="77777777" w:rsidR="00627D1A" w:rsidRPr="0003029A" w:rsidRDefault="00627D1A">
      <w:pPr>
        <w:widowControl/>
        <w:suppressAutoHyphens w:val="0"/>
        <w:autoSpaceDE w:val="0"/>
        <w:jc w:val="center"/>
        <w:rPr>
          <w:rFonts w:eastAsia="MS Mincho" w:cs="Times New Roman"/>
          <w:b/>
          <w:bCs/>
          <w:color w:val="000000"/>
          <w:sz w:val="22"/>
          <w:szCs w:val="22"/>
          <w:lang w:eastAsia="ja-JP"/>
        </w:rPr>
      </w:pPr>
    </w:p>
    <w:p w14:paraId="569C44AA" w14:textId="77777777" w:rsidR="00627D1A" w:rsidRPr="0003029A" w:rsidRDefault="00627D1A">
      <w:pPr>
        <w:widowControl/>
        <w:numPr>
          <w:ilvl w:val="0"/>
          <w:numId w:val="2"/>
        </w:numPr>
        <w:suppressAutoHyphens w:val="0"/>
        <w:autoSpaceDE w:val="0"/>
        <w:spacing w:line="360" w:lineRule="auto"/>
        <w:jc w:val="both"/>
      </w:pPr>
      <w:r w:rsidRPr="0003029A">
        <w:rPr>
          <w:rFonts w:eastAsia="MS Mincho" w:cs="Times New Roman"/>
          <w:color w:val="000000"/>
          <w:sz w:val="22"/>
          <w:szCs w:val="22"/>
          <w:lang w:eastAsia="ja-JP"/>
        </w:rPr>
        <w:t xml:space="preserve">di aver preso visione degli atti di gara per l’affidamento in oggetto e di essere perfettamente a conoscenza dei loro contenuti, che costituiscono legge speciale della presente procedura, di averli compresi e di accettarli integralmente ed incondizionatamente; </w:t>
      </w:r>
    </w:p>
    <w:p w14:paraId="44031A7B" w14:textId="77777777" w:rsidR="00627D1A" w:rsidRPr="0003029A" w:rsidRDefault="00627D1A">
      <w:pPr>
        <w:pStyle w:val="Paragrafoelenco"/>
        <w:widowControl/>
        <w:numPr>
          <w:ilvl w:val="0"/>
          <w:numId w:val="3"/>
        </w:numPr>
        <w:suppressAutoHyphens w:val="0"/>
        <w:spacing w:line="276" w:lineRule="auto"/>
        <w:contextualSpacing/>
        <w:jc w:val="both"/>
      </w:pPr>
      <w:r w:rsidRPr="0003029A">
        <w:rPr>
          <w:rFonts w:cs="Times New Roman"/>
        </w:rPr>
        <w:t xml:space="preserve">Che l’offerta ha validità non inferiore a </w:t>
      </w:r>
      <w:r w:rsidRPr="00D91222">
        <w:rPr>
          <w:rFonts w:cs="Times New Roman"/>
        </w:rPr>
        <w:t>180 (centoottanta</w:t>
      </w:r>
      <w:r w:rsidRPr="00FD1BB7">
        <w:rPr>
          <w:rFonts w:cs="Times New Roman"/>
          <w:color w:val="FF0000"/>
        </w:rPr>
        <w:t>)</w:t>
      </w:r>
      <w:r w:rsidRPr="0003029A">
        <w:rPr>
          <w:rFonts w:cs="Times New Roman"/>
        </w:rPr>
        <w:t xml:space="preserve"> giorni solari dal termine ultimo per il ricevimento delle offerte</w:t>
      </w:r>
      <w:bookmarkStart w:id="0" w:name="_GoBack"/>
    </w:p>
    <w:bookmarkEnd w:id="0"/>
    <w:p w14:paraId="461BA9AA" w14:textId="77777777" w:rsidR="00627D1A" w:rsidRPr="0003029A" w:rsidRDefault="00627D1A">
      <w:pPr>
        <w:pStyle w:val="Paragrafoelenco"/>
        <w:widowControl/>
        <w:suppressAutoHyphens w:val="0"/>
        <w:spacing w:line="276" w:lineRule="auto"/>
        <w:ind w:left="360"/>
        <w:contextualSpacing/>
        <w:jc w:val="both"/>
        <w:rPr>
          <w:rFonts w:cs="Times New Roman"/>
        </w:rPr>
      </w:pPr>
    </w:p>
    <w:p w14:paraId="2E48B574" w14:textId="77777777" w:rsidR="00627D1A" w:rsidRPr="0003029A" w:rsidRDefault="00627D1A">
      <w:pPr>
        <w:tabs>
          <w:tab w:val="left" w:pos="2967"/>
        </w:tabs>
      </w:pPr>
      <w:r w:rsidRPr="0003029A">
        <w:rPr>
          <w:rFonts w:cs="Times New Roman"/>
          <w:b/>
          <w:bCs/>
        </w:rPr>
        <w:t xml:space="preserve">INFORMAZIONI </w:t>
      </w:r>
    </w:p>
    <w:p w14:paraId="3665DCB0" w14:textId="77777777" w:rsidR="00D556A3" w:rsidRDefault="0011463E">
      <w:pPr>
        <w:jc w:val="both"/>
        <w:rPr>
          <w:rFonts w:cs="Times New Roman"/>
        </w:rPr>
      </w:pPr>
      <w:r>
        <w:rPr>
          <w:rFonts w:cs="Times New Roman"/>
        </w:rPr>
        <w:t>La tabella n. 1 indica i requisiti minimi relativi ai prodotti richiesti</w:t>
      </w:r>
      <w:r w:rsidR="00D556A3">
        <w:rPr>
          <w:rFonts w:cs="Times New Roman"/>
        </w:rPr>
        <w:t xml:space="preserve"> e va compilata obbligatoriamente in tutte le sue parti.</w:t>
      </w:r>
    </w:p>
    <w:p w14:paraId="7CD01297" w14:textId="77777777" w:rsidR="0011463E" w:rsidRDefault="0011463E">
      <w:pPr>
        <w:jc w:val="both"/>
        <w:rPr>
          <w:rFonts w:cs="Times New Roman"/>
        </w:rPr>
      </w:pPr>
      <w:r>
        <w:rPr>
          <w:rFonts w:cs="Times New Roman"/>
        </w:rPr>
        <w:t>La tabella n. 2 indica gli aspetti migliorativi oggetto di valutazione, rispetto ai criteri di valutazione del disciplinare di gara.</w:t>
      </w:r>
      <w:r w:rsidR="00D556A3">
        <w:rPr>
          <w:rFonts w:cs="Times New Roman"/>
        </w:rPr>
        <w:t xml:space="preserve"> L’operatore andrà a compilare interamente ogni riga, rispetto a quanto offerto.</w:t>
      </w:r>
    </w:p>
    <w:p w14:paraId="55663612" w14:textId="77777777" w:rsidR="00627D1A" w:rsidRPr="0003029A" w:rsidRDefault="00627D1A">
      <w:pPr>
        <w:jc w:val="both"/>
        <w:rPr>
          <w:rFonts w:cs="Times New Roman"/>
          <w:u w:val="single"/>
        </w:rPr>
      </w:pPr>
    </w:p>
    <w:p w14:paraId="4D353D42" w14:textId="77777777" w:rsidR="00627D1A" w:rsidRPr="0003029A" w:rsidRDefault="00627D1A">
      <w:pPr>
        <w:jc w:val="both"/>
      </w:pPr>
      <w:r w:rsidRPr="0003029A">
        <w:rPr>
          <w:rFonts w:cs="Times New Roman"/>
        </w:rPr>
        <w:t>È richiesto di allegare tutta la documentazione tecnica necessaria alla verif</w:t>
      </w:r>
      <w:r w:rsidR="0003029A" w:rsidRPr="0003029A">
        <w:rPr>
          <w:rFonts w:cs="Times New Roman"/>
        </w:rPr>
        <w:t>ica della presenza e conformità</w:t>
      </w:r>
      <w:r w:rsidRPr="0003029A">
        <w:rPr>
          <w:rFonts w:cs="Times New Roman"/>
        </w:rPr>
        <w:t xml:space="preserve"> del requisito tecnico o prestazionale che l’operatore economico intende offrire, indicando puntualmente il riferimento nella documentazione fornita (ad esempio nome del documento allegato, pagina, paragrafo)</w:t>
      </w:r>
      <w:r w:rsidR="0003029A" w:rsidRPr="0003029A">
        <w:rPr>
          <w:rFonts w:cs="Times New Roman"/>
        </w:rPr>
        <w:t>;</w:t>
      </w:r>
      <w:r w:rsidRPr="0003029A">
        <w:rPr>
          <w:rFonts w:cs="Times New Roman"/>
        </w:rPr>
        <w:t xml:space="preserve"> laddove la documentazio</w:t>
      </w:r>
      <w:r w:rsidR="0003029A" w:rsidRPr="0003029A">
        <w:rPr>
          <w:rFonts w:cs="Times New Roman"/>
        </w:rPr>
        <w:t>n</w:t>
      </w:r>
      <w:r w:rsidRPr="0003029A">
        <w:rPr>
          <w:rFonts w:cs="Times New Roman"/>
        </w:rPr>
        <w:t>e risultasse non presente o non chiaramente dettagliata, il requisito tecnico o prestazionale sarà considerato mancante. Si raccomanda la compilazione ordinata e puntuale.</w:t>
      </w:r>
    </w:p>
    <w:p w14:paraId="0E7BFC53" w14:textId="77777777" w:rsidR="00627D1A" w:rsidRPr="0003029A" w:rsidRDefault="00627D1A">
      <w:pPr>
        <w:jc w:val="both"/>
        <w:rPr>
          <w:rFonts w:cs="Times New Roman"/>
          <w:u w:val="single"/>
        </w:rPr>
      </w:pPr>
    </w:p>
    <w:p w14:paraId="458BAC7B" w14:textId="77777777" w:rsidR="00627D1A" w:rsidRPr="0003029A" w:rsidRDefault="00627D1A">
      <w:pPr>
        <w:jc w:val="both"/>
        <w:rPr>
          <w:rFonts w:cs="Times New Roman"/>
          <w:u w:val="single"/>
        </w:rPr>
      </w:pPr>
    </w:p>
    <w:p w14:paraId="614522A4" w14:textId="77777777" w:rsidR="00FD1BB7" w:rsidRPr="0003029A" w:rsidRDefault="00FD1BB7">
      <w:pPr>
        <w:jc w:val="both"/>
        <w:rPr>
          <w:rFonts w:cs="Times New Roman"/>
          <w:u w:val="single"/>
        </w:rPr>
      </w:pPr>
    </w:p>
    <w:p w14:paraId="344ECEFC" w14:textId="77777777" w:rsidR="00627D1A" w:rsidRPr="0003029A" w:rsidRDefault="00627D1A">
      <w:pPr>
        <w:jc w:val="both"/>
        <w:rPr>
          <w:rFonts w:cs="Times New Roman"/>
          <w:u w:val="single"/>
        </w:rPr>
      </w:pPr>
    </w:p>
    <w:p w14:paraId="4E67787B" w14:textId="77777777" w:rsidR="00627D1A" w:rsidRPr="0003029A" w:rsidRDefault="00627D1A">
      <w:pPr>
        <w:jc w:val="both"/>
        <w:rPr>
          <w:rFonts w:cs="Times New Roman"/>
          <w:u w:val="single"/>
        </w:rPr>
      </w:pPr>
    </w:p>
    <w:tbl>
      <w:tblPr>
        <w:tblW w:w="9790" w:type="dxa"/>
        <w:tblInd w:w="66" w:type="dxa"/>
        <w:tblLayout w:type="fixed"/>
        <w:tblCellMar>
          <w:top w:w="80" w:type="dxa"/>
          <w:left w:w="75" w:type="dxa"/>
          <w:bottom w:w="80" w:type="dxa"/>
          <w:right w:w="80" w:type="dxa"/>
        </w:tblCellMar>
        <w:tblLook w:val="0000" w:firstRow="0" w:lastRow="0" w:firstColumn="0" w:lastColumn="0" w:noHBand="0" w:noVBand="0"/>
      </w:tblPr>
      <w:tblGrid>
        <w:gridCol w:w="5679"/>
        <w:gridCol w:w="4111"/>
      </w:tblGrid>
      <w:tr w:rsidR="00AA53B2" w:rsidRPr="0003029A" w14:paraId="6AD26C7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808080"/>
            <w:vAlign w:val="center"/>
          </w:tcPr>
          <w:p w14:paraId="7285E5D7" w14:textId="77777777" w:rsidR="00AA53B2" w:rsidRDefault="0011463E">
            <w:pPr>
              <w:jc w:val="both"/>
            </w:pPr>
            <w:r>
              <w:t>Tabella n. 1</w:t>
            </w:r>
            <w:r w:rsidR="002273EE">
              <w:t xml:space="preserve"> Lotto </w:t>
            </w:r>
            <w:r w:rsidR="00376093">
              <w:t>1</w:t>
            </w:r>
            <w:r w:rsidR="002273EE">
              <w:t xml:space="preserve"> </w:t>
            </w:r>
            <w:r w:rsidR="00376093">
              <w:t>Border Firewall</w:t>
            </w:r>
          </w:p>
          <w:p w14:paraId="15CF5D2C" w14:textId="77777777" w:rsidR="004710A5" w:rsidRPr="0003029A" w:rsidRDefault="004710A5">
            <w:pPr>
              <w:jc w:val="both"/>
            </w:pPr>
            <w:r>
              <w:t>Requisiti minimi richiesti</w:t>
            </w:r>
          </w:p>
        </w:tc>
        <w:tc>
          <w:tcPr>
            <w:tcW w:w="4111" w:type="dxa"/>
            <w:tcBorders>
              <w:top w:val="single" w:sz="4" w:space="0" w:color="00000A"/>
              <w:left w:val="single" w:sz="4" w:space="0" w:color="00000A"/>
              <w:bottom w:val="single" w:sz="4" w:space="0" w:color="00000A"/>
              <w:right w:val="single" w:sz="4" w:space="0" w:color="00000A"/>
            </w:tcBorders>
            <w:shd w:val="clear" w:color="auto" w:fill="808080"/>
          </w:tcPr>
          <w:p w14:paraId="4F362265" w14:textId="77777777" w:rsidR="00AA53B2" w:rsidRPr="0003029A" w:rsidRDefault="00AA53B2">
            <w:pPr>
              <w:jc w:val="both"/>
            </w:pPr>
            <w:r w:rsidRPr="0003029A">
              <w:rPr>
                <w:rFonts w:cs="Times New Roman"/>
                <w:sz w:val="16"/>
                <w:szCs w:val="16"/>
              </w:rPr>
              <w:t>Indicare in modo puntuale la documentazione tecnica di riferimento allegata</w:t>
            </w:r>
            <w:r>
              <w:rPr>
                <w:rFonts w:cs="Times New Roman"/>
                <w:sz w:val="16"/>
                <w:szCs w:val="16"/>
              </w:rPr>
              <w:t xml:space="preserve"> sia cartacea che digitale (es. nome allegato, pagina, para</w:t>
            </w:r>
            <w:r w:rsidRPr="0003029A">
              <w:rPr>
                <w:rFonts w:cs="Times New Roman"/>
                <w:sz w:val="16"/>
                <w:szCs w:val="16"/>
              </w:rPr>
              <w:t xml:space="preserve">grafo </w:t>
            </w:r>
            <w:proofErr w:type="gramStart"/>
            <w:r w:rsidRPr="0003029A">
              <w:rPr>
                <w:rFonts w:cs="Times New Roman"/>
                <w:sz w:val="16"/>
                <w:szCs w:val="16"/>
              </w:rPr>
              <w:t>ecc..</w:t>
            </w:r>
            <w:proofErr w:type="gramEnd"/>
            <w:r w:rsidRPr="0003029A">
              <w:rPr>
                <w:rFonts w:cs="Times New Roman"/>
                <w:sz w:val="16"/>
                <w:szCs w:val="16"/>
              </w:rPr>
              <w:t xml:space="preserve"> ecc..) utile alla verifica della presenza del requisito tecnico o prestazionale che l’oper</w:t>
            </w:r>
            <w:r>
              <w:rPr>
                <w:rFonts w:cs="Times New Roman"/>
                <w:sz w:val="16"/>
                <w:szCs w:val="16"/>
              </w:rPr>
              <w:t>atore economico intende offrire (non sono ammessi link a URL).</w:t>
            </w:r>
          </w:p>
        </w:tc>
      </w:tr>
      <w:tr w:rsidR="005E6675" w:rsidRPr="0003029A" w14:paraId="3855D78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598AB30" w14:textId="77777777" w:rsidR="005E6675" w:rsidRPr="007C200B" w:rsidRDefault="005E6675" w:rsidP="005E6675">
            <w:pPr>
              <w:widowControl/>
              <w:numPr>
                <w:ilvl w:val="0"/>
                <w:numId w:val="9"/>
              </w:numPr>
              <w:suppressAutoHyphens w:val="0"/>
              <w:contextualSpacing/>
              <w:jc w:val="both"/>
              <w:rPr>
                <w:rFonts w:ascii="Garamond" w:hAnsi="Garamond"/>
              </w:rPr>
            </w:pPr>
            <w:r w:rsidRPr="007C200B">
              <w:rPr>
                <w:rFonts w:ascii="Garamond" w:hAnsi="Garamond"/>
              </w:rPr>
              <w:t>N. 2 Next-Generation Firewall in configurazione H.A. Active/Active, con le seguenti caratteristiche tecniche minime, riferite al singolo apparato: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CEC17B1" w14:textId="77777777" w:rsidR="005E6675" w:rsidRPr="0003029A" w:rsidRDefault="005E6675" w:rsidP="005E6675">
            <w:pPr>
              <w:snapToGrid w:val="0"/>
              <w:jc w:val="both"/>
              <w:rPr>
                <w:rFonts w:cs="Times New Roman"/>
                <w:b/>
                <w:sz w:val="16"/>
                <w:szCs w:val="16"/>
              </w:rPr>
            </w:pPr>
          </w:p>
        </w:tc>
      </w:tr>
      <w:tr w:rsidR="005E6675" w:rsidRPr="0003029A" w14:paraId="174193F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03A94E2"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L’appliance fornita deve essere sviluppata su hardware fisico dedicato alla soluzione (firewall hardware).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26E9470" w14:textId="77777777" w:rsidR="005E6675" w:rsidRPr="0003029A" w:rsidRDefault="005E6675" w:rsidP="005E6675">
            <w:pPr>
              <w:snapToGrid w:val="0"/>
              <w:jc w:val="both"/>
              <w:rPr>
                <w:rFonts w:cs="Times New Roman"/>
                <w:sz w:val="16"/>
                <w:szCs w:val="16"/>
                <w:u w:val="single"/>
              </w:rPr>
            </w:pPr>
          </w:p>
        </w:tc>
      </w:tr>
      <w:tr w:rsidR="005E6675" w:rsidRPr="0003029A" w14:paraId="74BEF900"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9D50C6B"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Funzionalità integrate di controllo applicativo L7 ISO/OSI. Le policy di sicurezza da implementare dovranno essere di tipo applicativo.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D4A417C" w14:textId="77777777" w:rsidR="005E6675" w:rsidRPr="0003029A" w:rsidRDefault="005E6675" w:rsidP="005E6675">
            <w:pPr>
              <w:snapToGrid w:val="0"/>
              <w:jc w:val="both"/>
              <w:rPr>
                <w:rFonts w:cs="Times New Roman"/>
                <w:sz w:val="16"/>
                <w:szCs w:val="16"/>
                <w:u w:val="single"/>
              </w:rPr>
            </w:pPr>
          </w:p>
        </w:tc>
      </w:tr>
      <w:tr w:rsidR="005E6675" w:rsidRPr="0003029A" w14:paraId="10319BA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D6375BA"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Architettura del Firewall basata sulla separazione tra Data </w:t>
            </w:r>
            <w:proofErr w:type="spellStart"/>
            <w:r w:rsidRPr="007C200B">
              <w:rPr>
                <w:rFonts w:ascii="Garamond" w:hAnsi="Garamond"/>
              </w:rPr>
              <w:t>plane</w:t>
            </w:r>
            <w:proofErr w:type="spellEnd"/>
            <w:r w:rsidRPr="007C200B">
              <w:rPr>
                <w:rFonts w:ascii="Garamond" w:hAnsi="Garamond"/>
              </w:rPr>
              <w:t xml:space="preserve"> dedicato al traffico e Management </w:t>
            </w:r>
            <w:proofErr w:type="spellStart"/>
            <w:r w:rsidRPr="007C200B">
              <w:rPr>
                <w:rFonts w:ascii="Garamond" w:hAnsi="Garamond"/>
              </w:rPr>
              <w:t>plane</w:t>
            </w:r>
            <w:proofErr w:type="spellEnd"/>
            <w:r w:rsidRPr="007C200B">
              <w:rPr>
                <w:rFonts w:ascii="Garamond" w:hAnsi="Garamond"/>
              </w:rPr>
              <w:t xml:space="preserve"> dedicato alla gestione della piattaforma.</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BA83CCF" w14:textId="77777777" w:rsidR="005E6675" w:rsidRPr="005E6675" w:rsidRDefault="005E6675" w:rsidP="005E6675">
            <w:pPr>
              <w:snapToGrid w:val="0"/>
              <w:jc w:val="both"/>
              <w:rPr>
                <w:rFonts w:cs="Times New Roman"/>
                <w:sz w:val="16"/>
                <w:szCs w:val="16"/>
              </w:rPr>
            </w:pPr>
          </w:p>
        </w:tc>
      </w:tr>
      <w:tr w:rsidR="005E6675" w:rsidRPr="009905CD" w14:paraId="41E7293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A2E2AD1" w14:textId="77777777" w:rsidR="005E6675" w:rsidRPr="007C200B" w:rsidRDefault="005E6675" w:rsidP="005E6675">
            <w:pPr>
              <w:widowControl/>
              <w:numPr>
                <w:ilvl w:val="1"/>
                <w:numId w:val="9"/>
              </w:numPr>
              <w:suppressAutoHyphens w:val="0"/>
              <w:contextualSpacing/>
              <w:jc w:val="both"/>
              <w:rPr>
                <w:rFonts w:ascii="Garamond" w:hAnsi="Garamond"/>
                <w:lang w:val="en-US"/>
              </w:rPr>
            </w:pPr>
            <w:r w:rsidRPr="007C200B">
              <w:rPr>
                <w:rFonts w:ascii="Garamond" w:hAnsi="Garamond"/>
                <w:lang w:val="en-US"/>
              </w:rPr>
              <w:t>Firewall Throughput 17/20 Gbps (http/app)</w:t>
            </w:r>
            <w:r w:rsidRPr="007C200B">
              <w:rPr>
                <w:rStyle w:val="Rimandonotaapidipagina"/>
                <w:rFonts w:ascii="Garamond" w:hAnsi="Garamond"/>
                <w:lang w:val="en-US"/>
              </w:rPr>
              <w:footnoteReference w:id="1"/>
            </w:r>
            <w:r w:rsidRPr="007C200B">
              <w:rPr>
                <w:rFonts w:ascii="Garamond" w:hAnsi="Garamond"/>
                <w:lang w:val="en-US"/>
              </w:rPr>
              <w: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82D6E24" w14:textId="77777777" w:rsidR="005E6675" w:rsidRPr="005E6675" w:rsidRDefault="005E6675" w:rsidP="005E6675">
            <w:pPr>
              <w:snapToGrid w:val="0"/>
              <w:jc w:val="both"/>
              <w:rPr>
                <w:rFonts w:cs="Times New Roman"/>
                <w:sz w:val="16"/>
                <w:szCs w:val="16"/>
                <w:lang w:val="en-US"/>
              </w:rPr>
            </w:pPr>
          </w:p>
        </w:tc>
      </w:tr>
      <w:tr w:rsidR="005E6675" w:rsidRPr="00203400" w14:paraId="6038FC8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C258137" w14:textId="77777777" w:rsidR="005E6675" w:rsidRPr="007C200B" w:rsidRDefault="005E6675" w:rsidP="005E6675">
            <w:pPr>
              <w:widowControl/>
              <w:numPr>
                <w:ilvl w:val="1"/>
                <w:numId w:val="9"/>
              </w:numPr>
              <w:suppressAutoHyphens w:val="0"/>
              <w:contextualSpacing/>
              <w:jc w:val="both"/>
              <w:rPr>
                <w:rFonts w:ascii="Garamond" w:hAnsi="Garamond"/>
                <w:lang w:val="en-US"/>
              </w:rPr>
            </w:pPr>
            <w:r w:rsidRPr="007C200B">
              <w:rPr>
                <w:rFonts w:ascii="Garamond" w:hAnsi="Garamond"/>
                <w:lang w:val="en-US"/>
              </w:rPr>
              <w:t>Threat Prevention Throughput 8/9 Gbps (http/app)</w:t>
            </w:r>
            <w:r w:rsidRPr="007C200B">
              <w:rPr>
                <w:rStyle w:val="Rimandonotaapidipagina"/>
                <w:rFonts w:ascii="Garamond" w:hAnsi="Garamond"/>
                <w:lang w:val="en-US"/>
              </w:rPr>
              <w:footnoteReference w:id="2"/>
            </w:r>
            <w:r w:rsidRPr="007C200B">
              <w:rPr>
                <w:rFonts w:ascii="Garamond" w:hAnsi="Garamond"/>
                <w:lang w:val="en-US"/>
              </w:rPr>
              <w: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5DB1172" w14:textId="77777777" w:rsidR="005E6675" w:rsidRPr="0003029A" w:rsidRDefault="005E6675" w:rsidP="005E6675">
            <w:pPr>
              <w:snapToGrid w:val="0"/>
              <w:jc w:val="both"/>
              <w:rPr>
                <w:rFonts w:cs="Times New Roman"/>
                <w:sz w:val="16"/>
                <w:szCs w:val="16"/>
                <w:u w:val="single"/>
                <w:lang w:val="en-US"/>
              </w:rPr>
            </w:pPr>
          </w:p>
        </w:tc>
      </w:tr>
      <w:tr w:rsidR="005E6675" w:rsidRPr="0003029A" w14:paraId="37D80B1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53DD1FE" w14:textId="77777777" w:rsidR="005E6675" w:rsidRPr="007C200B" w:rsidRDefault="005E6675" w:rsidP="005E6675">
            <w:pPr>
              <w:widowControl/>
              <w:numPr>
                <w:ilvl w:val="1"/>
                <w:numId w:val="9"/>
              </w:numPr>
              <w:suppressAutoHyphens w:val="0"/>
              <w:contextualSpacing/>
              <w:jc w:val="both"/>
              <w:rPr>
                <w:rFonts w:ascii="Garamond" w:hAnsi="Garamond"/>
                <w:lang w:val="en-US"/>
              </w:rPr>
            </w:pPr>
            <w:r w:rsidRPr="007C200B">
              <w:rPr>
                <w:rFonts w:ascii="Garamond" w:hAnsi="Garamond"/>
                <w:lang w:val="en-US"/>
              </w:rPr>
              <w:t>IPsec VPN Throughput 8 Gbps.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FADC129" w14:textId="77777777" w:rsidR="005E6675" w:rsidRPr="0003029A" w:rsidRDefault="005E6675" w:rsidP="005E6675">
            <w:pPr>
              <w:snapToGrid w:val="0"/>
              <w:jc w:val="both"/>
              <w:rPr>
                <w:rFonts w:cs="Times New Roman"/>
                <w:sz w:val="16"/>
                <w:szCs w:val="16"/>
              </w:rPr>
            </w:pPr>
          </w:p>
        </w:tc>
      </w:tr>
      <w:tr w:rsidR="005E6675" w:rsidRPr="0003029A" w14:paraId="12D7195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62EA9AD"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Funzionalità di SSL remote access VPN per almeno 500 utenti.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7304BC1" w14:textId="77777777" w:rsidR="005E6675" w:rsidRPr="0003029A" w:rsidRDefault="005E6675" w:rsidP="005E6675">
            <w:pPr>
              <w:snapToGrid w:val="0"/>
              <w:jc w:val="both"/>
              <w:rPr>
                <w:rFonts w:cs="Times New Roman"/>
                <w:sz w:val="16"/>
                <w:szCs w:val="16"/>
              </w:rPr>
            </w:pPr>
          </w:p>
        </w:tc>
      </w:tr>
      <w:tr w:rsidR="005E6675" w:rsidRPr="0003029A" w14:paraId="24B6956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0F3B336" w14:textId="77777777" w:rsidR="005E6675" w:rsidRPr="007C200B" w:rsidRDefault="005E6675" w:rsidP="005E6675">
            <w:pPr>
              <w:widowControl/>
              <w:numPr>
                <w:ilvl w:val="1"/>
                <w:numId w:val="9"/>
              </w:numPr>
              <w:suppressAutoHyphens w:val="0"/>
              <w:contextualSpacing/>
              <w:jc w:val="both"/>
              <w:rPr>
                <w:rFonts w:ascii="Garamond" w:hAnsi="Garamond"/>
                <w:lang w:val="en-US"/>
              </w:rPr>
            </w:pPr>
            <w:proofErr w:type="spellStart"/>
            <w:r w:rsidRPr="007C200B">
              <w:rPr>
                <w:rFonts w:ascii="Garamond" w:hAnsi="Garamond"/>
                <w:lang w:val="en-US"/>
              </w:rPr>
              <w:t>Sessioni</w:t>
            </w:r>
            <w:proofErr w:type="spellEnd"/>
            <w:r w:rsidRPr="007C200B">
              <w:rPr>
                <w:rFonts w:ascii="Garamond" w:hAnsi="Garamond"/>
                <w:lang w:val="en-US"/>
              </w:rPr>
              <w:t xml:space="preserve"> </w:t>
            </w:r>
            <w:proofErr w:type="spellStart"/>
            <w:r w:rsidRPr="007C200B">
              <w:rPr>
                <w:rFonts w:ascii="Garamond" w:hAnsi="Garamond"/>
                <w:lang w:val="en-US"/>
              </w:rPr>
              <w:t>massime</w:t>
            </w:r>
            <w:proofErr w:type="spellEnd"/>
            <w:r w:rsidRPr="007C200B">
              <w:rPr>
                <w:rFonts w:ascii="Garamond" w:hAnsi="Garamond"/>
                <w:lang w:val="en-US"/>
              </w:rPr>
              <w:t xml:space="preserve"> 4.000.000.</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02EF696" w14:textId="77777777" w:rsidR="005E6675" w:rsidRPr="0003029A" w:rsidRDefault="005E6675" w:rsidP="005E6675">
            <w:pPr>
              <w:snapToGrid w:val="0"/>
              <w:ind w:left="567"/>
              <w:jc w:val="both"/>
              <w:rPr>
                <w:rFonts w:cs="Times New Roman"/>
                <w:sz w:val="16"/>
                <w:szCs w:val="16"/>
              </w:rPr>
            </w:pPr>
          </w:p>
        </w:tc>
      </w:tr>
      <w:tr w:rsidR="005E6675" w:rsidRPr="0003029A" w14:paraId="4A37182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B8EAA7A" w14:textId="77777777" w:rsidR="005E6675" w:rsidRPr="007C200B" w:rsidRDefault="005E6675" w:rsidP="005E6675">
            <w:pPr>
              <w:widowControl/>
              <w:numPr>
                <w:ilvl w:val="1"/>
                <w:numId w:val="9"/>
              </w:numPr>
              <w:suppressAutoHyphens w:val="0"/>
              <w:contextualSpacing/>
              <w:jc w:val="both"/>
              <w:rPr>
                <w:rFonts w:ascii="Garamond" w:hAnsi="Garamond"/>
                <w:lang w:val="en-US"/>
              </w:rPr>
            </w:pPr>
            <w:proofErr w:type="spellStart"/>
            <w:r w:rsidRPr="007C200B">
              <w:rPr>
                <w:rFonts w:ascii="Garamond" w:hAnsi="Garamond"/>
                <w:lang w:val="en-US"/>
              </w:rPr>
              <w:t>Nuove</w:t>
            </w:r>
            <w:proofErr w:type="spellEnd"/>
            <w:r w:rsidRPr="007C200B">
              <w:rPr>
                <w:rFonts w:ascii="Garamond" w:hAnsi="Garamond"/>
                <w:lang w:val="en-US"/>
              </w:rPr>
              <w:t xml:space="preserve"> </w:t>
            </w:r>
            <w:proofErr w:type="spellStart"/>
            <w:r w:rsidRPr="007C200B">
              <w:rPr>
                <w:rFonts w:ascii="Garamond" w:hAnsi="Garamond"/>
                <w:lang w:val="en-US"/>
              </w:rPr>
              <w:t>sessioni</w:t>
            </w:r>
            <w:proofErr w:type="spellEnd"/>
            <w:r w:rsidRPr="007C200B">
              <w:rPr>
                <w:rFonts w:ascii="Garamond" w:hAnsi="Garamond"/>
                <w:lang w:val="en-US"/>
              </w:rPr>
              <w:t xml:space="preserve"> per secondo 150.000.</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B2EB733" w14:textId="77777777" w:rsidR="005E6675" w:rsidRPr="0003029A" w:rsidRDefault="005E6675" w:rsidP="005E6675">
            <w:pPr>
              <w:snapToGrid w:val="0"/>
              <w:jc w:val="both"/>
              <w:rPr>
                <w:rFonts w:cs="Times New Roman"/>
                <w:sz w:val="16"/>
                <w:szCs w:val="16"/>
              </w:rPr>
            </w:pPr>
          </w:p>
        </w:tc>
      </w:tr>
      <w:tr w:rsidR="005E6675" w:rsidRPr="0003029A" w14:paraId="549D218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EA6C7D1"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10 Virtual Systems: Funzionalità di creazione di </w:t>
            </w:r>
            <w:proofErr w:type="spellStart"/>
            <w:r w:rsidRPr="007C200B">
              <w:rPr>
                <w:rFonts w:ascii="Garamond" w:hAnsi="Garamond"/>
              </w:rPr>
              <w:t>instanze</w:t>
            </w:r>
            <w:proofErr w:type="spellEnd"/>
            <w:r w:rsidRPr="007C200B">
              <w:rPr>
                <w:rFonts w:ascii="Garamond" w:hAnsi="Garamond"/>
              </w:rPr>
              <w:t xml:space="preserve"> separate logicamente del firewall, con separazione del traffico tra le diverse istanze.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F4C7E7C" w14:textId="77777777" w:rsidR="005E6675" w:rsidRPr="0003029A" w:rsidRDefault="005E6675" w:rsidP="005E6675">
            <w:pPr>
              <w:snapToGrid w:val="0"/>
              <w:ind w:left="567"/>
              <w:jc w:val="both"/>
              <w:rPr>
                <w:rFonts w:cs="Times New Roman"/>
                <w:sz w:val="16"/>
                <w:szCs w:val="16"/>
              </w:rPr>
            </w:pPr>
          </w:p>
        </w:tc>
      </w:tr>
      <w:tr w:rsidR="005E6675" w:rsidRPr="0003029A" w14:paraId="36C0C7B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B1D1B81"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lastRenderedPageBreak/>
              <w:t>Funzionalità di segmentazione della rete basata su Zone e protezione delle zone.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6B4F251" w14:textId="77777777" w:rsidR="005E6675" w:rsidRPr="0003029A" w:rsidRDefault="005E6675" w:rsidP="005E6675">
            <w:pPr>
              <w:snapToGrid w:val="0"/>
              <w:ind w:left="567"/>
              <w:jc w:val="both"/>
              <w:rPr>
                <w:rFonts w:cs="Times New Roman"/>
                <w:sz w:val="16"/>
                <w:szCs w:val="16"/>
              </w:rPr>
            </w:pPr>
          </w:p>
        </w:tc>
      </w:tr>
      <w:tr w:rsidR="005E6675" w:rsidRPr="0003029A" w14:paraId="7D2AFA8F"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CBAC3D3"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Interfacce configurabili in modalità L2, L3 IPv4 e IPv6.</w:t>
            </w:r>
            <w:r w:rsidRPr="007C200B">
              <w:rPr>
                <w:rFonts w:ascii="Garamond" w:hAnsi="Garamond"/>
              </w:rPr>
              <w:br/>
              <w:t>Le 3 modalità possono essere configurate contemporaneamente, su interfacce distinte, all'interno dello stesso contesto virtuale.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3F7314C" w14:textId="77777777" w:rsidR="005E6675" w:rsidRPr="0003029A" w:rsidRDefault="005E6675" w:rsidP="005E6675">
            <w:pPr>
              <w:snapToGrid w:val="0"/>
              <w:ind w:left="567"/>
              <w:jc w:val="both"/>
              <w:rPr>
                <w:rFonts w:cs="Times New Roman"/>
                <w:sz w:val="16"/>
                <w:szCs w:val="16"/>
              </w:rPr>
            </w:pPr>
          </w:p>
        </w:tc>
      </w:tr>
      <w:tr w:rsidR="005E6675" w:rsidRPr="0003029A" w14:paraId="2DCA9CA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4DB4ADD"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Supporto ai protocolli di </w:t>
            </w:r>
            <w:proofErr w:type="spellStart"/>
            <w:r w:rsidRPr="007C200B">
              <w:rPr>
                <w:rFonts w:ascii="Garamond" w:hAnsi="Garamond"/>
              </w:rPr>
              <w:t>routing</w:t>
            </w:r>
            <w:proofErr w:type="spellEnd"/>
            <w:r w:rsidRPr="007C200B">
              <w:rPr>
                <w:rFonts w:ascii="Garamond" w:hAnsi="Garamond"/>
              </w:rPr>
              <w:t xml:space="preserve"> OSPFv2/3 (</w:t>
            </w:r>
            <w:proofErr w:type="spellStart"/>
            <w:r w:rsidRPr="007C200B">
              <w:rPr>
                <w:rFonts w:ascii="Garamond" w:hAnsi="Garamond"/>
              </w:rPr>
              <w:t>graceful</w:t>
            </w:r>
            <w:proofErr w:type="spellEnd"/>
            <w:r w:rsidRPr="007C200B">
              <w:rPr>
                <w:rFonts w:ascii="Garamond" w:hAnsi="Garamond"/>
              </w:rPr>
              <w:t xml:space="preserve"> </w:t>
            </w:r>
            <w:proofErr w:type="spellStart"/>
            <w:r w:rsidRPr="007C200B">
              <w:rPr>
                <w:rFonts w:ascii="Garamond" w:hAnsi="Garamond"/>
              </w:rPr>
              <w:t>restart</w:t>
            </w:r>
            <w:proofErr w:type="spellEnd"/>
            <w:r w:rsidRPr="007C200B">
              <w:rPr>
                <w:rFonts w:ascii="Garamond" w:hAnsi="Garamond"/>
              </w:rPr>
              <w:t xml:space="preserve"> </w:t>
            </w:r>
            <w:proofErr w:type="spellStart"/>
            <w:r w:rsidRPr="007C200B">
              <w:rPr>
                <w:rFonts w:ascii="Garamond" w:hAnsi="Garamond"/>
              </w:rPr>
              <w:t>mechanism</w:t>
            </w:r>
            <w:proofErr w:type="spellEnd"/>
            <w:r w:rsidRPr="007C200B">
              <w:rPr>
                <w:rFonts w:ascii="Garamond" w:hAnsi="Garamond"/>
              </w:rPr>
              <w:t>), BGP (</w:t>
            </w:r>
            <w:proofErr w:type="spellStart"/>
            <w:r w:rsidRPr="007C200B">
              <w:rPr>
                <w:rFonts w:ascii="Garamond" w:hAnsi="Garamond"/>
              </w:rPr>
              <w:t>graceful</w:t>
            </w:r>
            <w:proofErr w:type="spellEnd"/>
            <w:r w:rsidRPr="007C200B">
              <w:rPr>
                <w:rFonts w:ascii="Garamond" w:hAnsi="Garamond"/>
              </w:rPr>
              <w:t xml:space="preserve"> </w:t>
            </w:r>
            <w:proofErr w:type="spellStart"/>
            <w:r w:rsidRPr="007C200B">
              <w:rPr>
                <w:rFonts w:ascii="Garamond" w:hAnsi="Garamond"/>
              </w:rPr>
              <w:t>restart</w:t>
            </w:r>
            <w:proofErr w:type="spellEnd"/>
            <w:r w:rsidRPr="007C200B">
              <w:rPr>
                <w:rFonts w:ascii="Garamond" w:hAnsi="Garamond"/>
              </w:rPr>
              <w:t xml:space="preserve"> </w:t>
            </w:r>
            <w:proofErr w:type="spellStart"/>
            <w:r w:rsidRPr="007C200B">
              <w:rPr>
                <w:rFonts w:ascii="Garamond" w:hAnsi="Garamond"/>
              </w:rPr>
              <w:t>mechanism</w:t>
            </w:r>
            <w:proofErr w:type="spellEnd"/>
            <w:r w:rsidRPr="007C200B">
              <w:rPr>
                <w:rFonts w:ascii="Garamond" w:hAnsi="Garamond"/>
              </w:rPr>
              <w:t>), RIP e rotte statiche.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BD3F780" w14:textId="77777777" w:rsidR="005E6675" w:rsidRPr="0003029A" w:rsidRDefault="005E6675" w:rsidP="005E6675">
            <w:pPr>
              <w:snapToGrid w:val="0"/>
              <w:jc w:val="both"/>
              <w:rPr>
                <w:rFonts w:cs="Times New Roman"/>
                <w:sz w:val="16"/>
                <w:szCs w:val="16"/>
                <w:u w:val="single"/>
              </w:rPr>
            </w:pPr>
          </w:p>
        </w:tc>
      </w:tr>
      <w:tr w:rsidR="005E6675" w:rsidRPr="0003029A" w14:paraId="12A25BA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0E97502" w14:textId="77777777" w:rsidR="005E6675" w:rsidRPr="007C200B" w:rsidRDefault="005E6675" w:rsidP="005E6675">
            <w:pPr>
              <w:widowControl/>
              <w:numPr>
                <w:ilvl w:val="1"/>
                <w:numId w:val="9"/>
              </w:numPr>
              <w:suppressAutoHyphens w:val="0"/>
              <w:contextualSpacing/>
              <w:jc w:val="both"/>
              <w:rPr>
                <w:rFonts w:ascii="Garamond" w:hAnsi="Garamond"/>
              </w:rPr>
            </w:pPr>
            <w:proofErr w:type="spellStart"/>
            <w:r w:rsidRPr="007C200B">
              <w:rPr>
                <w:rFonts w:ascii="Garamond" w:hAnsi="Garamond"/>
              </w:rPr>
              <w:t>PPPoE</w:t>
            </w:r>
            <w:proofErr w:type="spellEnd"/>
            <w:r w:rsidRPr="007C200B">
              <w:rPr>
                <w:rFonts w:ascii="Garamond" w:hAnsi="Garamond"/>
              </w:rPr>
              <w:t xml:space="preserve"> e DHCP.</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73AB79A" w14:textId="77777777" w:rsidR="005E6675" w:rsidRPr="0003029A" w:rsidRDefault="005E6675" w:rsidP="005E6675">
            <w:pPr>
              <w:snapToGrid w:val="0"/>
              <w:jc w:val="both"/>
              <w:rPr>
                <w:rFonts w:cs="Times New Roman"/>
                <w:sz w:val="16"/>
                <w:szCs w:val="16"/>
              </w:rPr>
            </w:pPr>
          </w:p>
        </w:tc>
      </w:tr>
      <w:tr w:rsidR="005E6675" w:rsidRPr="009905CD" w14:paraId="1DB67C3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9A3AF52" w14:textId="77777777" w:rsidR="005E6675" w:rsidRPr="007C200B" w:rsidRDefault="005E6675" w:rsidP="005E6675">
            <w:pPr>
              <w:widowControl/>
              <w:numPr>
                <w:ilvl w:val="1"/>
                <w:numId w:val="9"/>
              </w:numPr>
              <w:suppressAutoHyphens w:val="0"/>
              <w:contextualSpacing/>
              <w:jc w:val="both"/>
              <w:rPr>
                <w:rFonts w:ascii="Garamond" w:hAnsi="Garamond"/>
                <w:lang w:val="en-US"/>
              </w:rPr>
            </w:pPr>
            <w:proofErr w:type="spellStart"/>
            <w:r w:rsidRPr="007C200B">
              <w:rPr>
                <w:rFonts w:ascii="Garamond" w:hAnsi="Garamond"/>
                <w:lang w:val="en-US"/>
              </w:rPr>
              <w:t>Multicat</w:t>
            </w:r>
            <w:proofErr w:type="spellEnd"/>
            <w:r w:rsidRPr="007C200B">
              <w:rPr>
                <w:rFonts w:ascii="Garamond" w:hAnsi="Garamond"/>
                <w:lang w:val="en-US"/>
              </w:rPr>
              <w:t xml:space="preserve"> PIM-SM, PIM-SSM, IGMPv3.</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789D4D4" w14:textId="77777777" w:rsidR="005E6675" w:rsidRPr="005E6675" w:rsidRDefault="005E6675" w:rsidP="005E6675">
            <w:pPr>
              <w:snapToGrid w:val="0"/>
              <w:jc w:val="both"/>
              <w:rPr>
                <w:rFonts w:cs="Times New Roman"/>
                <w:sz w:val="16"/>
                <w:szCs w:val="16"/>
                <w:lang w:val="en-US"/>
              </w:rPr>
            </w:pPr>
          </w:p>
        </w:tc>
      </w:tr>
      <w:tr w:rsidR="005E6675" w:rsidRPr="0003029A" w14:paraId="72A8D95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CC73FF6" w14:textId="77777777" w:rsidR="005E6675" w:rsidRPr="007C200B" w:rsidRDefault="005E6675" w:rsidP="005E6675">
            <w:pPr>
              <w:widowControl/>
              <w:numPr>
                <w:ilvl w:val="1"/>
                <w:numId w:val="9"/>
              </w:numPr>
              <w:suppressAutoHyphens w:val="0"/>
              <w:contextualSpacing/>
              <w:jc w:val="both"/>
              <w:rPr>
                <w:rFonts w:ascii="Garamond" w:hAnsi="Garamond"/>
                <w:lang w:val="en-US"/>
              </w:rPr>
            </w:pPr>
            <w:r w:rsidRPr="007C200B">
              <w:rPr>
                <w:rFonts w:ascii="Garamond" w:hAnsi="Garamond"/>
                <w:lang w:val="en-US"/>
              </w:rPr>
              <w:t>Bidirectional Forwarding Detection (BFD).</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2EDAA3F" w14:textId="77777777" w:rsidR="005E6675" w:rsidRPr="0003029A" w:rsidRDefault="005E6675" w:rsidP="005E6675">
            <w:pPr>
              <w:snapToGrid w:val="0"/>
              <w:jc w:val="both"/>
              <w:rPr>
                <w:rFonts w:cs="Times New Roman"/>
                <w:sz w:val="16"/>
                <w:szCs w:val="16"/>
              </w:rPr>
            </w:pPr>
          </w:p>
        </w:tc>
      </w:tr>
      <w:tr w:rsidR="005E6675" w:rsidRPr="0003029A" w14:paraId="07B0384E"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2A625F6" w14:textId="77777777" w:rsidR="005E6675" w:rsidRPr="007C200B" w:rsidRDefault="005E6675" w:rsidP="005E6675">
            <w:pPr>
              <w:widowControl/>
              <w:numPr>
                <w:ilvl w:val="1"/>
                <w:numId w:val="9"/>
              </w:numPr>
              <w:suppressAutoHyphens w:val="0"/>
              <w:contextualSpacing/>
              <w:jc w:val="both"/>
              <w:rPr>
                <w:rFonts w:ascii="Garamond" w:hAnsi="Garamond"/>
                <w:lang w:val="en-US"/>
              </w:rPr>
            </w:pPr>
            <w:r w:rsidRPr="007C200B">
              <w:rPr>
                <w:rFonts w:ascii="Garamond" w:hAnsi="Garamond"/>
                <w:lang w:val="en-US"/>
              </w:rPr>
              <w:t>IPv6 SLACC.</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B0B32FF" w14:textId="77777777" w:rsidR="005E6675" w:rsidRPr="0003029A" w:rsidRDefault="005E6675" w:rsidP="005E6675">
            <w:pPr>
              <w:snapToGrid w:val="0"/>
              <w:jc w:val="both"/>
              <w:rPr>
                <w:rFonts w:cs="Times New Roman"/>
                <w:sz w:val="16"/>
                <w:szCs w:val="16"/>
              </w:rPr>
            </w:pPr>
          </w:p>
        </w:tc>
      </w:tr>
      <w:tr w:rsidR="005E6675" w:rsidRPr="0003029A" w14:paraId="35369A1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E6CCFBF"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4096 802.1Q VLAN tags per device/interfacce.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F6A89D5" w14:textId="77777777" w:rsidR="005E6675" w:rsidRPr="0003029A" w:rsidRDefault="005E6675" w:rsidP="005E6675">
            <w:pPr>
              <w:snapToGrid w:val="0"/>
              <w:jc w:val="both"/>
              <w:rPr>
                <w:rFonts w:cs="Times New Roman"/>
                <w:sz w:val="16"/>
                <w:szCs w:val="16"/>
                <w:u w:val="single"/>
              </w:rPr>
            </w:pPr>
          </w:p>
        </w:tc>
      </w:tr>
      <w:tr w:rsidR="005E6675" w:rsidRPr="0003029A" w14:paraId="31DA839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0AC2BCAD"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Funzionalità di </w:t>
            </w:r>
            <w:proofErr w:type="spellStart"/>
            <w:r w:rsidRPr="007C200B">
              <w:rPr>
                <w:rFonts w:ascii="Garamond" w:hAnsi="Garamond"/>
              </w:rPr>
              <w:t>QoS</w:t>
            </w:r>
            <w:proofErr w:type="spellEnd"/>
            <w:r w:rsidRPr="007C200B">
              <w:rPr>
                <w:rFonts w:ascii="Garamond" w:hAnsi="Garamond"/>
              </w:rPr>
              <w:t xml:space="preserve"> con </w:t>
            </w:r>
            <w:proofErr w:type="spellStart"/>
            <w:r w:rsidRPr="007C200B">
              <w:rPr>
                <w:rFonts w:ascii="Garamond" w:hAnsi="Garamond"/>
              </w:rPr>
              <w:t>traffic</w:t>
            </w:r>
            <w:proofErr w:type="spellEnd"/>
            <w:r w:rsidRPr="007C200B">
              <w:rPr>
                <w:rFonts w:ascii="Garamond" w:hAnsi="Garamond"/>
              </w:rPr>
              <w:t xml:space="preserve"> </w:t>
            </w:r>
            <w:proofErr w:type="spellStart"/>
            <w:r w:rsidRPr="007C200B">
              <w:rPr>
                <w:rFonts w:ascii="Garamond" w:hAnsi="Garamond"/>
              </w:rPr>
              <w:t>shaping</w:t>
            </w:r>
            <w:proofErr w:type="spellEnd"/>
            <w:r w:rsidRPr="007C200B">
              <w:rPr>
                <w:rFonts w:ascii="Garamond" w:hAnsi="Garamond"/>
              </w:rPr>
              <w:t xml:space="preserve"> basato su policy (</w:t>
            </w:r>
            <w:proofErr w:type="spellStart"/>
            <w:r w:rsidRPr="007C200B">
              <w:rPr>
                <w:rFonts w:ascii="Garamond" w:hAnsi="Garamond"/>
              </w:rPr>
              <w:t>priority</w:t>
            </w:r>
            <w:proofErr w:type="spellEnd"/>
            <w:r w:rsidRPr="007C200B">
              <w:rPr>
                <w:rFonts w:ascii="Garamond" w:hAnsi="Garamond"/>
              </w:rPr>
              <w:t xml:space="preserve">, </w:t>
            </w:r>
            <w:proofErr w:type="spellStart"/>
            <w:r w:rsidRPr="007C200B">
              <w:rPr>
                <w:rFonts w:ascii="Garamond" w:hAnsi="Garamond"/>
              </w:rPr>
              <w:t>guaranteed</w:t>
            </w:r>
            <w:proofErr w:type="spellEnd"/>
            <w:r w:rsidRPr="007C200B">
              <w:rPr>
                <w:rFonts w:ascii="Garamond" w:hAnsi="Garamond"/>
              </w:rPr>
              <w:t>, maximum) per applicazioni, per utenti, per tunnel, con classificazione DSCP.</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6BCCFB88" w14:textId="77777777" w:rsidR="005E6675" w:rsidRPr="0003029A" w:rsidRDefault="005E6675" w:rsidP="005E6675">
            <w:pPr>
              <w:snapToGrid w:val="0"/>
              <w:jc w:val="both"/>
              <w:rPr>
                <w:rFonts w:cs="Times New Roman"/>
                <w:sz w:val="16"/>
                <w:szCs w:val="16"/>
              </w:rPr>
            </w:pPr>
          </w:p>
        </w:tc>
      </w:tr>
      <w:tr w:rsidR="005E6675" w:rsidRPr="005B2EA5" w14:paraId="4167D54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6F658EC"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802.3ad LACP.</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3BE2A41" w14:textId="77777777" w:rsidR="005E6675" w:rsidRPr="005B2EA5" w:rsidRDefault="005E6675" w:rsidP="005E6675">
            <w:pPr>
              <w:snapToGrid w:val="0"/>
              <w:jc w:val="both"/>
              <w:rPr>
                <w:rFonts w:cs="Times New Roman"/>
                <w:sz w:val="16"/>
                <w:szCs w:val="16"/>
              </w:rPr>
            </w:pPr>
          </w:p>
        </w:tc>
      </w:tr>
      <w:tr w:rsidR="005E6675" w:rsidRPr="00203400" w14:paraId="31018F8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476D100E" w14:textId="77777777" w:rsidR="005E6675" w:rsidRPr="007C200B" w:rsidRDefault="005E6675" w:rsidP="005E6675">
            <w:pPr>
              <w:widowControl/>
              <w:numPr>
                <w:ilvl w:val="1"/>
                <w:numId w:val="9"/>
              </w:numPr>
              <w:suppressAutoHyphens w:val="0"/>
              <w:contextualSpacing/>
              <w:jc w:val="both"/>
              <w:rPr>
                <w:rFonts w:ascii="Garamond" w:hAnsi="Garamond"/>
                <w:lang w:val="en-US"/>
              </w:rPr>
            </w:pPr>
            <w:r w:rsidRPr="007C200B">
              <w:rPr>
                <w:rFonts w:ascii="Garamond" w:hAnsi="Garamond"/>
                <w:lang w:val="en-US"/>
              </w:rPr>
              <w:t>NAT (IPv4): static IP, dynamic IP, dynamic IP/port.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3E0DC313" w14:textId="77777777" w:rsidR="005E6675" w:rsidRPr="005E6675" w:rsidRDefault="005E6675" w:rsidP="005E6675">
            <w:pPr>
              <w:snapToGrid w:val="0"/>
              <w:jc w:val="both"/>
              <w:rPr>
                <w:rFonts w:cs="Times New Roman"/>
                <w:sz w:val="16"/>
                <w:szCs w:val="16"/>
                <w:lang w:val="en-US"/>
              </w:rPr>
            </w:pPr>
          </w:p>
        </w:tc>
      </w:tr>
      <w:tr w:rsidR="005E6675" w:rsidRPr="0003029A" w14:paraId="6C5F7BE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3EB65BD"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NAT64, NPTv6.</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8AAD2A3" w14:textId="77777777" w:rsidR="005E6675" w:rsidRPr="0003029A" w:rsidRDefault="005E6675" w:rsidP="005E6675">
            <w:pPr>
              <w:snapToGrid w:val="0"/>
              <w:jc w:val="both"/>
              <w:rPr>
                <w:rFonts w:cs="Times New Roman"/>
                <w:sz w:val="16"/>
                <w:szCs w:val="16"/>
              </w:rPr>
            </w:pPr>
          </w:p>
        </w:tc>
      </w:tr>
      <w:tr w:rsidR="005E6675" w:rsidRPr="0003029A" w14:paraId="31D7A7B2"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621FC3B"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High </w:t>
            </w:r>
            <w:proofErr w:type="spellStart"/>
            <w:r w:rsidRPr="007C200B">
              <w:rPr>
                <w:rFonts w:ascii="Garamond" w:hAnsi="Garamond"/>
              </w:rPr>
              <w:t>Availability</w:t>
            </w:r>
            <w:proofErr w:type="spellEnd"/>
            <w:r w:rsidRPr="007C200B">
              <w:rPr>
                <w:rFonts w:ascii="Garamond" w:hAnsi="Garamond"/>
              </w:rPr>
              <w:t xml:space="preserve"> </w:t>
            </w:r>
            <w:proofErr w:type="spellStart"/>
            <w:r w:rsidRPr="007C200B">
              <w:rPr>
                <w:rFonts w:ascii="Garamond" w:hAnsi="Garamond"/>
              </w:rPr>
              <w:t>active</w:t>
            </w:r>
            <w:proofErr w:type="spellEnd"/>
            <w:r w:rsidRPr="007C200B">
              <w:rPr>
                <w:rFonts w:ascii="Garamond" w:hAnsi="Garamond"/>
              </w:rPr>
              <w:t>/</w:t>
            </w:r>
            <w:proofErr w:type="spellStart"/>
            <w:r w:rsidRPr="007C200B">
              <w:rPr>
                <w:rFonts w:ascii="Garamond" w:hAnsi="Garamond"/>
              </w:rPr>
              <w:t>active</w:t>
            </w:r>
            <w:proofErr w:type="spellEnd"/>
            <w:r w:rsidRPr="007C200B">
              <w:rPr>
                <w:rFonts w:ascii="Garamond" w:hAnsi="Garamond"/>
              </w:rPr>
              <w:t xml:space="preserve"> e </w:t>
            </w:r>
            <w:proofErr w:type="spellStart"/>
            <w:r w:rsidRPr="007C200B">
              <w:rPr>
                <w:rFonts w:ascii="Garamond" w:hAnsi="Garamond"/>
              </w:rPr>
              <w:t>active</w:t>
            </w:r>
            <w:proofErr w:type="spellEnd"/>
            <w:r w:rsidRPr="007C200B">
              <w:rPr>
                <w:rFonts w:ascii="Garamond" w:hAnsi="Garamond"/>
              </w:rPr>
              <w:t xml:space="preserve">/passive; </w:t>
            </w:r>
            <w:proofErr w:type="spellStart"/>
            <w:r w:rsidRPr="007C200B">
              <w:rPr>
                <w:rFonts w:ascii="Garamond" w:hAnsi="Garamond"/>
              </w:rPr>
              <w:t>Failure</w:t>
            </w:r>
            <w:proofErr w:type="spellEnd"/>
            <w:r w:rsidRPr="007C200B">
              <w:rPr>
                <w:rFonts w:ascii="Garamond" w:hAnsi="Garamond"/>
              </w:rPr>
              <w:t xml:space="preserve"> </w:t>
            </w:r>
            <w:proofErr w:type="spellStart"/>
            <w:r w:rsidRPr="007C200B">
              <w:rPr>
                <w:rFonts w:ascii="Garamond" w:hAnsi="Garamond"/>
              </w:rPr>
              <w:t>detection</w:t>
            </w:r>
            <w:proofErr w:type="spellEnd"/>
            <w:r w:rsidRPr="007C200B">
              <w:rPr>
                <w:rFonts w:ascii="Garamond" w:hAnsi="Garamond"/>
              </w:rPr>
              <w:t xml:space="preserve"> basata su </w:t>
            </w:r>
            <w:proofErr w:type="spellStart"/>
            <w:r w:rsidRPr="007C200B">
              <w:rPr>
                <w:rFonts w:ascii="Garamond" w:hAnsi="Garamond"/>
              </w:rPr>
              <w:t>path</w:t>
            </w:r>
            <w:proofErr w:type="spellEnd"/>
            <w:r w:rsidRPr="007C200B">
              <w:rPr>
                <w:rFonts w:ascii="Garamond" w:hAnsi="Garamond"/>
              </w:rPr>
              <w:t xml:space="preserve"> monitoring e </w:t>
            </w:r>
            <w:proofErr w:type="spellStart"/>
            <w:r w:rsidRPr="007C200B">
              <w:rPr>
                <w:rFonts w:ascii="Garamond" w:hAnsi="Garamond"/>
              </w:rPr>
              <w:t>interface</w:t>
            </w:r>
            <w:proofErr w:type="spellEnd"/>
            <w:r w:rsidRPr="007C200B">
              <w:rPr>
                <w:rFonts w:ascii="Garamond" w:hAnsi="Garamond"/>
              </w:rPr>
              <w:t xml:space="preserve"> monitoring.</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0D621B4" w14:textId="77777777" w:rsidR="005E6675" w:rsidRPr="0003029A" w:rsidRDefault="005E6675" w:rsidP="005E6675">
            <w:pPr>
              <w:snapToGrid w:val="0"/>
              <w:jc w:val="both"/>
              <w:rPr>
                <w:rFonts w:cs="Times New Roman"/>
                <w:sz w:val="16"/>
                <w:szCs w:val="16"/>
              </w:rPr>
            </w:pPr>
          </w:p>
        </w:tc>
      </w:tr>
      <w:tr w:rsidR="005E6675" w:rsidRPr="0003029A" w14:paraId="5827232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39491F13"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Funzionalità di </w:t>
            </w:r>
            <w:proofErr w:type="spellStart"/>
            <w:r w:rsidRPr="007C200B">
              <w:rPr>
                <w:rFonts w:ascii="Garamond" w:hAnsi="Garamond"/>
              </w:rPr>
              <w:t>DoS</w:t>
            </w:r>
            <w:proofErr w:type="spellEnd"/>
            <w:r w:rsidRPr="007C200B">
              <w:rPr>
                <w:rFonts w:ascii="Garamond" w:hAnsi="Garamond"/>
              </w:rPr>
              <w:t xml:space="preserve"> </w:t>
            </w:r>
            <w:proofErr w:type="spellStart"/>
            <w:r w:rsidRPr="007C200B">
              <w:rPr>
                <w:rFonts w:ascii="Garamond" w:hAnsi="Garamond"/>
              </w:rPr>
              <w:t>protection</w:t>
            </w:r>
            <w:proofErr w:type="spellEnd"/>
            <w:r w:rsidRPr="007C200B">
              <w:rPr>
                <w:rFonts w:ascii="Garamond" w:hAnsi="Garamond"/>
              </w:rPr>
              <w:t xml:space="preserve"> per contrastare il </w:t>
            </w:r>
            <w:proofErr w:type="spellStart"/>
            <w:r w:rsidRPr="007C200B">
              <w:rPr>
                <w:rFonts w:ascii="Garamond" w:hAnsi="Garamond"/>
              </w:rPr>
              <w:t>flooding</w:t>
            </w:r>
            <w:proofErr w:type="spellEnd"/>
            <w:r w:rsidRPr="007C200B">
              <w:rPr>
                <w:rFonts w:ascii="Garamond" w:hAnsi="Garamond"/>
              </w:rPr>
              <w:t xml:space="preserve"> dovuto a nuove sessioni.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539DEDA" w14:textId="77777777" w:rsidR="005E6675" w:rsidRPr="0003029A" w:rsidRDefault="005E6675" w:rsidP="005E6675">
            <w:pPr>
              <w:snapToGrid w:val="0"/>
              <w:jc w:val="both"/>
              <w:rPr>
                <w:rFonts w:cs="Times New Roman"/>
                <w:sz w:val="16"/>
                <w:szCs w:val="16"/>
              </w:rPr>
            </w:pPr>
          </w:p>
        </w:tc>
      </w:tr>
      <w:tr w:rsidR="005E6675" w:rsidRPr="00203400" w14:paraId="32AE357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07CF785" w14:textId="77777777" w:rsidR="005E6675" w:rsidRPr="007C200B" w:rsidRDefault="005E6675" w:rsidP="005E6675">
            <w:pPr>
              <w:widowControl/>
              <w:numPr>
                <w:ilvl w:val="1"/>
                <w:numId w:val="9"/>
              </w:numPr>
              <w:suppressAutoHyphens w:val="0"/>
              <w:contextualSpacing/>
              <w:jc w:val="both"/>
              <w:rPr>
                <w:rFonts w:ascii="Garamond" w:hAnsi="Garamond"/>
                <w:lang w:val="en-US"/>
              </w:rPr>
            </w:pPr>
            <w:r w:rsidRPr="007C200B">
              <w:rPr>
                <w:rFonts w:ascii="Garamond" w:hAnsi="Garamond"/>
                <w:lang w:val="en-US"/>
              </w:rPr>
              <w:t>Antivirus, anti-spyware (command-and-control), and vulnerability protection.</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5308D6D" w14:textId="77777777" w:rsidR="005E6675" w:rsidRPr="005E6675" w:rsidRDefault="005E6675" w:rsidP="005E6675">
            <w:pPr>
              <w:snapToGrid w:val="0"/>
              <w:jc w:val="both"/>
              <w:rPr>
                <w:rFonts w:cs="Times New Roman"/>
                <w:sz w:val="16"/>
                <w:szCs w:val="16"/>
                <w:u w:val="single"/>
                <w:lang w:val="en-US"/>
              </w:rPr>
            </w:pPr>
          </w:p>
        </w:tc>
      </w:tr>
      <w:tr w:rsidR="005E6675" w:rsidRPr="0003029A" w14:paraId="26C7BBE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046BA4D" w14:textId="77777777" w:rsidR="005E6675" w:rsidRPr="007C200B" w:rsidRDefault="005E6675" w:rsidP="005E6675">
            <w:pPr>
              <w:widowControl/>
              <w:numPr>
                <w:ilvl w:val="1"/>
                <w:numId w:val="9"/>
              </w:numPr>
              <w:suppressAutoHyphens w:val="0"/>
              <w:contextualSpacing/>
              <w:jc w:val="both"/>
              <w:rPr>
                <w:rFonts w:ascii="Garamond" w:hAnsi="Garamond"/>
                <w:lang w:val="en-US"/>
              </w:rPr>
            </w:pPr>
            <w:proofErr w:type="spellStart"/>
            <w:r w:rsidRPr="007C200B">
              <w:rPr>
                <w:rFonts w:ascii="Garamond" w:hAnsi="Garamond"/>
                <w:lang w:val="en-US"/>
              </w:rPr>
              <w:t>Funzionalità</w:t>
            </w:r>
            <w:proofErr w:type="spellEnd"/>
            <w:r w:rsidRPr="007C200B">
              <w:rPr>
                <w:rFonts w:ascii="Garamond" w:hAnsi="Garamond"/>
                <w:lang w:val="en-US"/>
              </w:rPr>
              <w:t xml:space="preserve"> di IDS/IPS;</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465F72A" w14:textId="77777777" w:rsidR="005E6675" w:rsidRPr="0003029A" w:rsidRDefault="005E6675" w:rsidP="005E6675">
            <w:pPr>
              <w:snapToGrid w:val="0"/>
              <w:jc w:val="both"/>
              <w:rPr>
                <w:rFonts w:cs="Times New Roman"/>
                <w:sz w:val="16"/>
                <w:szCs w:val="16"/>
              </w:rPr>
            </w:pPr>
          </w:p>
        </w:tc>
      </w:tr>
      <w:tr w:rsidR="005E6675" w:rsidRPr="005B2EA5" w14:paraId="66C7D226"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7808F38"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lastRenderedPageBreak/>
              <w:t xml:space="preserve">Funzionalità di </w:t>
            </w:r>
            <w:proofErr w:type="spellStart"/>
            <w:r w:rsidRPr="007C200B">
              <w:rPr>
                <w:rFonts w:ascii="Garamond" w:hAnsi="Garamond"/>
              </w:rPr>
              <w:t>DoS</w:t>
            </w:r>
            <w:proofErr w:type="spellEnd"/>
            <w:r w:rsidRPr="007C200B">
              <w:rPr>
                <w:rFonts w:ascii="Garamond" w:hAnsi="Garamond"/>
              </w:rPr>
              <w:t xml:space="preserve"> </w:t>
            </w:r>
            <w:proofErr w:type="spellStart"/>
            <w:r w:rsidRPr="007C200B">
              <w:rPr>
                <w:rFonts w:ascii="Garamond" w:hAnsi="Garamond"/>
              </w:rPr>
              <w:t>protection</w:t>
            </w:r>
            <w:proofErr w:type="spellEnd"/>
            <w:r w:rsidRPr="007C200B">
              <w:rPr>
                <w:rFonts w:ascii="Garamond" w:hAnsi="Garamond"/>
              </w:rPr>
              <w:t xml:space="preserve"> per contrastare il </w:t>
            </w:r>
            <w:proofErr w:type="spellStart"/>
            <w:r w:rsidRPr="007C200B">
              <w:rPr>
                <w:rFonts w:ascii="Garamond" w:hAnsi="Garamond"/>
              </w:rPr>
              <w:t>flooding</w:t>
            </w:r>
            <w:proofErr w:type="spellEnd"/>
            <w:r w:rsidRPr="007C200B">
              <w:rPr>
                <w:rFonts w:ascii="Garamond" w:hAnsi="Garamond"/>
              </w:rPr>
              <w:t xml:space="preserve"> dovuto a nuove sessioni.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A032C4F" w14:textId="77777777" w:rsidR="005E6675" w:rsidRPr="005E6675" w:rsidRDefault="005E6675" w:rsidP="005E6675">
            <w:pPr>
              <w:snapToGrid w:val="0"/>
              <w:jc w:val="both"/>
              <w:rPr>
                <w:rFonts w:cs="Times New Roman"/>
                <w:sz w:val="16"/>
                <w:szCs w:val="16"/>
              </w:rPr>
            </w:pPr>
          </w:p>
        </w:tc>
      </w:tr>
      <w:tr w:rsidR="005E6675" w:rsidRPr="00AA53B2" w14:paraId="6A8919F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1AD5FAF6"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Export dei flussi di dati (</w:t>
            </w:r>
            <w:proofErr w:type="spellStart"/>
            <w:r w:rsidRPr="007C200B">
              <w:rPr>
                <w:rFonts w:ascii="Garamond" w:hAnsi="Garamond"/>
              </w:rPr>
              <w:t>Netflow</w:t>
            </w:r>
            <w:proofErr w:type="spellEnd"/>
            <w:r w:rsidRPr="007C200B">
              <w:rPr>
                <w:rFonts w:ascii="Garamond" w:hAnsi="Garamond"/>
              </w:rPr>
              <w:t xml:space="preserve">, </w:t>
            </w:r>
            <w:proofErr w:type="spellStart"/>
            <w:r w:rsidRPr="007C200B">
              <w:rPr>
                <w:rFonts w:ascii="Garamond" w:hAnsi="Garamond"/>
              </w:rPr>
              <w:t>Sflow</w:t>
            </w:r>
            <w:proofErr w:type="spellEnd"/>
            <w:r w:rsidRPr="007C200B">
              <w:rPr>
                <w:rFonts w:ascii="Garamond" w:hAnsi="Garamond"/>
              </w:rPr>
              <w:t xml:space="preserve"> e/o IPFIX).</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E096C36" w14:textId="77777777" w:rsidR="005E6675" w:rsidRPr="005E6675" w:rsidRDefault="005E6675" w:rsidP="005E6675">
            <w:pPr>
              <w:snapToGrid w:val="0"/>
              <w:jc w:val="both"/>
              <w:rPr>
                <w:rFonts w:cs="Times New Roman"/>
                <w:sz w:val="16"/>
                <w:szCs w:val="16"/>
                <w:u w:val="single"/>
              </w:rPr>
            </w:pPr>
          </w:p>
        </w:tc>
      </w:tr>
      <w:tr w:rsidR="005E6675" w:rsidRPr="0003029A" w14:paraId="304C122B"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8B654CD"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Disponibilità di una dashboard (Application </w:t>
            </w:r>
            <w:proofErr w:type="spellStart"/>
            <w:r w:rsidRPr="007C200B">
              <w:rPr>
                <w:rFonts w:ascii="Garamond" w:hAnsi="Garamond"/>
              </w:rPr>
              <w:t>Command</w:t>
            </w:r>
            <w:proofErr w:type="spellEnd"/>
            <w:r w:rsidRPr="007C200B">
              <w:rPr>
                <w:rFonts w:ascii="Garamond" w:hAnsi="Garamond"/>
              </w:rPr>
              <w:t xml:space="preserve"> Center) che mostri come sommario grafico e interattivo applicazioni, utenti, URL, minacce e contenuti che attraversano la rete.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5E01329" w14:textId="77777777" w:rsidR="005E6675" w:rsidRPr="0003029A" w:rsidRDefault="005E6675" w:rsidP="005E6675">
            <w:pPr>
              <w:snapToGrid w:val="0"/>
              <w:jc w:val="both"/>
              <w:rPr>
                <w:rFonts w:cs="Times New Roman"/>
                <w:sz w:val="16"/>
                <w:szCs w:val="16"/>
              </w:rPr>
            </w:pPr>
          </w:p>
        </w:tc>
      </w:tr>
      <w:tr w:rsidR="005E6675" w:rsidRPr="00AA53B2" w14:paraId="60DD60A9"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7161C247"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Funzionalità di amministrazione completa delle funzionalità del firewall, tramite una interfaccia locale (integrata nel firewall) e tramite una console di management centralizzato.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E6702A5" w14:textId="77777777" w:rsidR="005E6675" w:rsidRPr="0003029A" w:rsidRDefault="005E6675" w:rsidP="005E6675">
            <w:pPr>
              <w:snapToGrid w:val="0"/>
              <w:jc w:val="both"/>
              <w:rPr>
                <w:rFonts w:cs="Times New Roman"/>
                <w:sz w:val="16"/>
                <w:szCs w:val="16"/>
              </w:rPr>
            </w:pPr>
          </w:p>
        </w:tc>
      </w:tr>
      <w:tr w:rsidR="005E6675" w:rsidRPr="00AA53B2" w14:paraId="5A3AF39A"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7D222BD"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 xml:space="preserve">Eventuali soluzioni/funzionalità cloud </w:t>
            </w:r>
            <w:proofErr w:type="spellStart"/>
            <w:r w:rsidRPr="007C200B">
              <w:rPr>
                <w:rFonts w:ascii="Garamond" w:hAnsi="Garamond"/>
              </w:rPr>
              <w:t>based</w:t>
            </w:r>
            <w:proofErr w:type="spellEnd"/>
            <w:r w:rsidRPr="007C200B">
              <w:rPr>
                <w:rFonts w:ascii="Garamond" w:hAnsi="Garamond"/>
              </w:rPr>
              <w:t xml:space="preserve"> dovranno essere qualificate da AGID per il cloud della pubblica amministrazione.</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38B835A" w14:textId="77777777" w:rsidR="005E6675" w:rsidRPr="00AA53B2" w:rsidRDefault="005E6675" w:rsidP="005E6675">
            <w:pPr>
              <w:snapToGrid w:val="0"/>
              <w:jc w:val="both"/>
              <w:rPr>
                <w:rFonts w:cs="Times New Roman"/>
                <w:sz w:val="16"/>
                <w:szCs w:val="16"/>
              </w:rPr>
            </w:pPr>
          </w:p>
        </w:tc>
      </w:tr>
      <w:tr w:rsidR="005E6675" w:rsidRPr="0003029A" w14:paraId="61F747B3"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2A047F8" w14:textId="77777777" w:rsidR="005E6675" w:rsidRPr="007C200B" w:rsidRDefault="005E6675" w:rsidP="005E6675">
            <w:pPr>
              <w:widowControl/>
              <w:numPr>
                <w:ilvl w:val="1"/>
                <w:numId w:val="9"/>
              </w:numPr>
              <w:suppressAutoHyphens w:val="0"/>
              <w:contextualSpacing/>
              <w:jc w:val="both"/>
              <w:rPr>
                <w:rFonts w:ascii="Garamond" w:hAnsi="Garamond"/>
              </w:rPr>
            </w:pPr>
            <w:r w:rsidRPr="007C200B">
              <w:rPr>
                <w:rFonts w:ascii="Garamond" w:hAnsi="Garamond"/>
              </w:rPr>
              <w:t>Occupazione di spazio massimo di 2 x 3 RU 19”.</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79F5B395" w14:textId="77777777" w:rsidR="005E6675" w:rsidRPr="005E6675" w:rsidRDefault="005E6675" w:rsidP="005E6675">
            <w:pPr>
              <w:snapToGrid w:val="0"/>
              <w:jc w:val="both"/>
              <w:rPr>
                <w:rFonts w:cs="Times New Roman"/>
                <w:sz w:val="16"/>
                <w:szCs w:val="16"/>
                <w:u w:val="single"/>
              </w:rPr>
            </w:pPr>
          </w:p>
        </w:tc>
      </w:tr>
      <w:tr w:rsidR="005E6675" w:rsidRPr="0003029A" w14:paraId="5097C107"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6867F82" w14:textId="77777777" w:rsidR="005E6675" w:rsidRPr="007C200B" w:rsidRDefault="005E6675" w:rsidP="005E6675">
            <w:pPr>
              <w:widowControl/>
              <w:numPr>
                <w:ilvl w:val="1"/>
                <w:numId w:val="9"/>
              </w:numPr>
              <w:suppressAutoHyphens w:val="0"/>
              <w:contextualSpacing/>
              <w:jc w:val="both"/>
              <w:rPr>
                <w:rFonts w:ascii="Garamond" w:hAnsi="Garamond"/>
                <w:lang w:val="en-US"/>
              </w:rPr>
            </w:pPr>
            <w:proofErr w:type="spellStart"/>
            <w:r w:rsidRPr="007C200B">
              <w:rPr>
                <w:rFonts w:ascii="Garamond" w:hAnsi="Garamond"/>
                <w:lang w:val="en-US"/>
              </w:rPr>
              <w:t>Alimentatori</w:t>
            </w:r>
            <w:proofErr w:type="spellEnd"/>
            <w:r w:rsidRPr="007C200B">
              <w:rPr>
                <w:rFonts w:ascii="Garamond" w:hAnsi="Garamond"/>
                <w:lang w:val="en-US"/>
              </w:rPr>
              <w:t xml:space="preserve"> </w:t>
            </w:r>
            <w:proofErr w:type="spellStart"/>
            <w:r w:rsidRPr="007C200B">
              <w:rPr>
                <w:rFonts w:ascii="Garamond" w:hAnsi="Garamond"/>
                <w:lang w:val="en-US"/>
              </w:rPr>
              <w:t>ridondati</w:t>
            </w:r>
            <w:proofErr w:type="spellEnd"/>
            <w:r w:rsidRPr="007C200B">
              <w:rPr>
                <w:rFonts w:ascii="Garamond" w:hAnsi="Garamond"/>
                <w:lang w:val="en-US"/>
              </w:rPr>
              <w:t>.</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50D68421" w14:textId="77777777" w:rsidR="005E6675" w:rsidRPr="0003029A" w:rsidRDefault="005E6675" w:rsidP="005E6675">
            <w:pPr>
              <w:snapToGrid w:val="0"/>
              <w:jc w:val="both"/>
              <w:rPr>
                <w:rFonts w:cs="Times New Roman"/>
                <w:sz w:val="16"/>
                <w:szCs w:val="16"/>
                <w:lang w:val="en-US"/>
              </w:rPr>
            </w:pPr>
          </w:p>
        </w:tc>
      </w:tr>
      <w:tr w:rsidR="005E6675" w:rsidRPr="0003029A" w14:paraId="37829DF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68D4F79E" w14:textId="77777777" w:rsidR="005E6675" w:rsidRPr="005E6675" w:rsidRDefault="005E6675" w:rsidP="005E6675">
            <w:pPr>
              <w:widowControl/>
              <w:numPr>
                <w:ilvl w:val="1"/>
                <w:numId w:val="9"/>
              </w:numPr>
              <w:suppressAutoHyphens w:val="0"/>
              <w:contextualSpacing/>
              <w:jc w:val="both"/>
              <w:rPr>
                <w:rFonts w:ascii="Garamond" w:hAnsi="Garamond"/>
              </w:rPr>
            </w:pPr>
            <w:r w:rsidRPr="005E6675">
              <w:rPr>
                <w:rFonts w:ascii="Garamond" w:hAnsi="Garamond"/>
              </w:rPr>
              <w:t>N. 4 100/1000/10G Cu RJ45; N. 16 1G/10G SFP/SFP+; N. 4 40G QSFP+.</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4D2C4C94" w14:textId="77777777" w:rsidR="005E6675" w:rsidRPr="005E6675" w:rsidRDefault="005E6675" w:rsidP="005E6675">
            <w:pPr>
              <w:snapToGrid w:val="0"/>
              <w:jc w:val="both"/>
              <w:rPr>
                <w:rFonts w:cs="Times New Roman"/>
                <w:sz w:val="16"/>
                <w:szCs w:val="16"/>
              </w:rPr>
            </w:pPr>
          </w:p>
        </w:tc>
      </w:tr>
      <w:tr w:rsidR="005E6675" w:rsidRPr="00AA53B2" w14:paraId="20F1066C"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28F3ACAE" w14:textId="77777777" w:rsidR="005E6675" w:rsidRPr="007C200B" w:rsidRDefault="005E6675" w:rsidP="005E6675">
            <w:pPr>
              <w:pStyle w:val="Paragrafoelenco"/>
              <w:widowControl/>
              <w:numPr>
                <w:ilvl w:val="0"/>
                <w:numId w:val="10"/>
              </w:numPr>
              <w:suppressAutoHyphens w:val="0"/>
              <w:contextualSpacing/>
              <w:jc w:val="both"/>
              <w:rPr>
                <w:rFonts w:ascii="Garamond" w:hAnsi="Garamond"/>
              </w:rPr>
            </w:pPr>
            <w:r w:rsidRPr="007C200B">
              <w:rPr>
                <w:rFonts w:ascii="Garamond" w:hAnsi="Garamond"/>
              </w:rPr>
              <w:t xml:space="preserve">N. 2 (N. 4 in totale per la coppia di FW) </w:t>
            </w:r>
            <w:proofErr w:type="spellStart"/>
            <w:r w:rsidRPr="007C200B">
              <w:rPr>
                <w:rFonts w:ascii="Garamond" w:hAnsi="Garamond"/>
              </w:rPr>
              <w:t>transceiver</w:t>
            </w:r>
            <w:proofErr w:type="spellEnd"/>
            <w:r w:rsidRPr="007C200B">
              <w:rPr>
                <w:rFonts w:ascii="Garamond" w:hAnsi="Garamond"/>
              </w:rPr>
              <w:t xml:space="preserve"> ottici QSFP+ 40Gb SR4 100m OM3, 12 </w:t>
            </w:r>
            <w:proofErr w:type="spellStart"/>
            <w:r w:rsidRPr="007C200B">
              <w:rPr>
                <w:rFonts w:ascii="Garamond" w:hAnsi="Garamond"/>
              </w:rPr>
              <w:t>strand</w:t>
            </w:r>
            <w:proofErr w:type="spellEnd"/>
            <w:r w:rsidRPr="007C200B">
              <w:rPr>
                <w:rFonts w:ascii="Garamond" w:hAnsi="Garamond"/>
              </w:rPr>
              <w:t xml:space="preserve"> MPO.</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27346AC6" w14:textId="77777777" w:rsidR="005E6675" w:rsidRPr="00AA53B2" w:rsidRDefault="005E6675" w:rsidP="005E6675">
            <w:pPr>
              <w:snapToGrid w:val="0"/>
              <w:jc w:val="both"/>
              <w:rPr>
                <w:rFonts w:cs="Times New Roman"/>
                <w:sz w:val="16"/>
                <w:szCs w:val="16"/>
              </w:rPr>
            </w:pPr>
          </w:p>
        </w:tc>
      </w:tr>
      <w:tr w:rsidR="005E6675" w:rsidRPr="0003029A" w14:paraId="30F5A6CD"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9902491" w14:textId="77777777" w:rsidR="005E6675" w:rsidRPr="007C200B" w:rsidRDefault="005E6675" w:rsidP="005E6675">
            <w:pPr>
              <w:widowControl/>
              <w:numPr>
                <w:ilvl w:val="0"/>
                <w:numId w:val="9"/>
              </w:numPr>
              <w:suppressAutoHyphens w:val="0"/>
              <w:contextualSpacing/>
              <w:jc w:val="both"/>
              <w:rPr>
                <w:rFonts w:ascii="Garamond" w:hAnsi="Garamond"/>
              </w:rPr>
            </w:pPr>
            <w:r w:rsidRPr="007C200B">
              <w:rPr>
                <w:rFonts w:ascii="Garamond" w:hAnsi="Garamond"/>
              </w:rPr>
              <w:t>Servizi di aggiornamento software (inteso per tutte le funzionalità e software richiesti e forniti, soggetti a licenze) – 24 mesi.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09D7A585" w14:textId="77777777" w:rsidR="005E6675" w:rsidRPr="005E6675" w:rsidRDefault="005E6675" w:rsidP="005E6675">
            <w:pPr>
              <w:snapToGrid w:val="0"/>
              <w:jc w:val="both"/>
              <w:rPr>
                <w:rFonts w:cs="Times New Roman"/>
                <w:sz w:val="16"/>
                <w:szCs w:val="16"/>
              </w:rPr>
            </w:pPr>
          </w:p>
        </w:tc>
      </w:tr>
      <w:tr w:rsidR="005E6675" w:rsidRPr="0003029A" w14:paraId="179057B5" w14:textId="77777777" w:rsidTr="00AA53B2">
        <w:trPr>
          <w:trHeight w:val="241"/>
        </w:trPr>
        <w:tc>
          <w:tcPr>
            <w:tcW w:w="5679" w:type="dxa"/>
            <w:tcBorders>
              <w:top w:val="single" w:sz="4" w:space="0" w:color="00000A"/>
              <w:left w:val="single" w:sz="4" w:space="0" w:color="00000A"/>
              <w:bottom w:val="single" w:sz="4" w:space="0" w:color="00000A"/>
            </w:tcBorders>
            <w:shd w:val="clear" w:color="auto" w:fill="D9D9D9"/>
          </w:tcPr>
          <w:p w14:paraId="5B0CC4E3" w14:textId="77777777" w:rsidR="005E6675" w:rsidRPr="007C200B" w:rsidRDefault="005E6675" w:rsidP="005E6675">
            <w:pPr>
              <w:widowControl/>
              <w:numPr>
                <w:ilvl w:val="0"/>
                <w:numId w:val="9"/>
              </w:numPr>
              <w:suppressAutoHyphens w:val="0"/>
              <w:contextualSpacing/>
              <w:jc w:val="both"/>
              <w:rPr>
                <w:rFonts w:ascii="Garamond" w:hAnsi="Garamond"/>
              </w:rPr>
            </w:pPr>
            <w:r w:rsidRPr="007C200B">
              <w:rPr>
                <w:rFonts w:ascii="Garamond" w:hAnsi="Garamond"/>
              </w:rPr>
              <w:t xml:space="preserve">Servizio di Manutenzione e Hardware </w:t>
            </w:r>
            <w:proofErr w:type="spellStart"/>
            <w:r w:rsidRPr="007C200B">
              <w:rPr>
                <w:rFonts w:ascii="Garamond" w:hAnsi="Garamond"/>
              </w:rPr>
              <w:t>Replacement</w:t>
            </w:r>
            <w:proofErr w:type="spellEnd"/>
            <w:r w:rsidRPr="007C200B">
              <w:rPr>
                <w:rFonts w:ascii="Garamond" w:hAnsi="Garamond"/>
              </w:rPr>
              <w:t xml:space="preserve"> 8x5xNBD – 24 mesi.</w:t>
            </w:r>
          </w:p>
        </w:tc>
        <w:tc>
          <w:tcPr>
            <w:tcW w:w="4111" w:type="dxa"/>
            <w:tcBorders>
              <w:top w:val="single" w:sz="4" w:space="0" w:color="00000A"/>
              <w:left w:val="single" w:sz="4" w:space="0" w:color="00000A"/>
              <w:bottom w:val="single" w:sz="4" w:space="0" w:color="00000A"/>
              <w:right w:val="single" w:sz="4" w:space="0" w:color="00000A"/>
            </w:tcBorders>
            <w:shd w:val="clear" w:color="auto" w:fill="D9D9D9"/>
          </w:tcPr>
          <w:p w14:paraId="13EA1E12" w14:textId="77777777" w:rsidR="005E6675" w:rsidRPr="005E6675" w:rsidRDefault="005E6675" w:rsidP="005E6675">
            <w:pPr>
              <w:snapToGrid w:val="0"/>
              <w:jc w:val="both"/>
              <w:rPr>
                <w:rFonts w:cs="Times New Roman"/>
                <w:sz w:val="16"/>
                <w:szCs w:val="16"/>
              </w:rPr>
            </w:pPr>
          </w:p>
        </w:tc>
      </w:tr>
    </w:tbl>
    <w:p w14:paraId="178172F4" w14:textId="77777777" w:rsidR="00627D1A" w:rsidRDefault="00627D1A" w:rsidP="00D556A3">
      <w:pPr>
        <w:rPr>
          <w:rFonts w:cs="Times New Roman"/>
          <w:b/>
        </w:rPr>
      </w:pPr>
    </w:p>
    <w:tbl>
      <w:tblPr>
        <w:tblW w:w="9584" w:type="dxa"/>
        <w:tblInd w:w="66" w:type="dxa"/>
        <w:tblBorders>
          <w:top w:val="single" w:sz="4" w:space="0" w:color="00000A"/>
          <w:left w:val="single" w:sz="4" w:space="0" w:color="00000A"/>
          <w:bottom w:val="single" w:sz="4" w:space="0" w:color="00000A"/>
          <w:right w:val="single" w:sz="4" w:space="0" w:color="00000A"/>
          <w:insideH w:val="single" w:sz="6" w:space="0" w:color="00000A"/>
          <w:insideV w:val="single" w:sz="6" w:space="0" w:color="00000A"/>
        </w:tblBorders>
        <w:tblLayout w:type="fixed"/>
        <w:tblCellMar>
          <w:top w:w="80" w:type="dxa"/>
          <w:left w:w="75" w:type="dxa"/>
          <w:bottom w:w="80" w:type="dxa"/>
          <w:right w:w="80" w:type="dxa"/>
        </w:tblCellMar>
        <w:tblLook w:val="0000" w:firstRow="0" w:lastRow="0" w:firstColumn="0" w:lastColumn="0" w:noHBand="0" w:noVBand="0"/>
      </w:tblPr>
      <w:tblGrid>
        <w:gridCol w:w="5367"/>
        <w:gridCol w:w="1225"/>
        <w:gridCol w:w="780"/>
        <w:gridCol w:w="2212"/>
      </w:tblGrid>
      <w:tr w:rsidR="00D556A3" w:rsidRPr="0003029A" w14:paraId="33C905D0" w14:textId="77777777" w:rsidTr="00376093">
        <w:trPr>
          <w:trHeight w:val="241"/>
        </w:trPr>
        <w:tc>
          <w:tcPr>
            <w:tcW w:w="5367" w:type="dxa"/>
            <w:shd w:val="clear" w:color="auto" w:fill="808080"/>
            <w:vAlign w:val="center"/>
          </w:tcPr>
          <w:p w14:paraId="5C23B6F5" w14:textId="77777777" w:rsidR="00D556A3" w:rsidRDefault="00D556A3" w:rsidP="00780CCD">
            <w:pPr>
              <w:jc w:val="both"/>
            </w:pPr>
            <w:r w:rsidRPr="00D556A3">
              <w:t>Tabella n. 2</w:t>
            </w:r>
            <w:r w:rsidR="002273EE">
              <w:t xml:space="preserve"> Lotto </w:t>
            </w:r>
            <w:r w:rsidR="00376093">
              <w:t>1</w:t>
            </w:r>
            <w:r w:rsidR="002273EE">
              <w:t xml:space="preserve"> </w:t>
            </w:r>
            <w:r w:rsidR="00376093">
              <w:t>Border Firewall</w:t>
            </w:r>
          </w:p>
          <w:p w14:paraId="612EB74F" w14:textId="77777777" w:rsidR="004710A5" w:rsidRPr="0003029A" w:rsidRDefault="004710A5" w:rsidP="00780CCD">
            <w:pPr>
              <w:jc w:val="both"/>
            </w:pPr>
            <w:r>
              <w:t>Aspetti migliorativi</w:t>
            </w:r>
          </w:p>
        </w:tc>
        <w:tc>
          <w:tcPr>
            <w:tcW w:w="1225" w:type="dxa"/>
            <w:shd w:val="clear" w:color="auto" w:fill="808080"/>
            <w:vAlign w:val="center"/>
          </w:tcPr>
          <w:p w14:paraId="583B3787" w14:textId="77777777" w:rsidR="00D556A3" w:rsidRPr="0003029A" w:rsidRDefault="00D556A3" w:rsidP="00780CCD">
            <w:pPr>
              <w:jc w:val="both"/>
            </w:pPr>
            <w:r w:rsidRPr="0003029A">
              <w:rPr>
                <w:rFonts w:cs="Times New Roman"/>
                <w:sz w:val="16"/>
                <w:szCs w:val="16"/>
              </w:rPr>
              <w:t>Punteggio previsto in caso di offerta</w:t>
            </w:r>
          </w:p>
        </w:tc>
        <w:tc>
          <w:tcPr>
            <w:tcW w:w="780" w:type="dxa"/>
            <w:shd w:val="clear" w:color="auto" w:fill="808080"/>
          </w:tcPr>
          <w:p w14:paraId="72CE0A1C" w14:textId="77777777" w:rsidR="00D556A3" w:rsidRPr="0003029A" w:rsidRDefault="00D556A3" w:rsidP="00780CCD">
            <w:pPr>
              <w:jc w:val="both"/>
            </w:pPr>
            <w:r w:rsidRPr="0003029A">
              <w:rPr>
                <w:rFonts w:cs="Times New Roman"/>
                <w:sz w:val="16"/>
                <w:szCs w:val="16"/>
              </w:rPr>
              <w:t xml:space="preserve">Indicare con una X i requisiti tecnici </w:t>
            </w:r>
            <w:proofErr w:type="gramStart"/>
            <w:r w:rsidRPr="0003029A">
              <w:rPr>
                <w:rFonts w:cs="Times New Roman"/>
                <w:sz w:val="16"/>
                <w:szCs w:val="16"/>
              </w:rPr>
              <w:t>o  prestazionali</w:t>
            </w:r>
            <w:proofErr w:type="gramEnd"/>
            <w:r w:rsidRPr="0003029A">
              <w:rPr>
                <w:rFonts w:cs="Times New Roman"/>
                <w:sz w:val="16"/>
                <w:szCs w:val="16"/>
              </w:rPr>
              <w:t xml:space="preserve"> che l’operato</w:t>
            </w:r>
            <w:r w:rsidRPr="0003029A">
              <w:rPr>
                <w:rFonts w:cs="Times New Roman"/>
                <w:sz w:val="16"/>
                <w:szCs w:val="16"/>
              </w:rPr>
              <w:lastRenderedPageBreak/>
              <w:t>re economico intende offrire</w:t>
            </w:r>
          </w:p>
        </w:tc>
        <w:tc>
          <w:tcPr>
            <w:tcW w:w="2212" w:type="dxa"/>
            <w:shd w:val="clear" w:color="auto" w:fill="808080"/>
          </w:tcPr>
          <w:p w14:paraId="6566CCBB" w14:textId="77777777" w:rsidR="00D556A3" w:rsidRPr="0003029A" w:rsidRDefault="00D556A3" w:rsidP="00780CCD">
            <w:pPr>
              <w:jc w:val="both"/>
            </w:pPr>
            <w:r w:rsidRPr="0003029A">
              <w:rPr>
                <w:rFonts w:cs="Times New Roman"/>
                <w:sz w:val="16"/>
                <w:szCs w:val="16"/>
              </w:rPr>
              <w:lastRenderedPageBreak/>
              <w:t>Indicare in modo puntuale la documentazione tecnica di riferimento allegata</w:t>
            </w:r>
            <w:r>
              <w:rPr>
                <w:rFonts w:cs="Times New Roman"/>
                <w:sz w:val="16"/>
                <w:szCs w:val="16"/>
              </w:rPr>
              <w:t xml:space="preserve"> sia cartacea che digitale (es. nome allegato, pagina, para</w:t>
            </w:r>
            <w:r w:rsidRPr="0003029A">
              <w:rPr>
                <w:rFonts w:cs="Times New Roman"/>
                <w:sz w:val="16"/>
                <w:szCs w:val="16"/>
              </w:rPr>
              <w:t xml:space="preserve">grafo </w:t>
            </w:r>
            <w:proofErr w:type="gramStart"/>
            <w:r w:rsidRPr="0003029A">
              <w:rPr>
                <w:rFonts w:cs="Times New Roman"/>
                <w:sz w:val="16"/>
                <w:szCs w:val="16"/>
              </w:rPr>
              <w:t>ecc..</w:t>
            </w:r>
            <w:proofErr w:type="gramEnd"/>
            <w:r w:rsidRPr="0003029A">
              <w:rPr>
                <w:rFonts w:cs="Times New Roman"/>
                <w:sz w:val="16"/>
                <w:szCs w:val="16"/>
              </w:rPr>
              <w:t xml:space="preserve"> ecc..) utile alla verifica della presenza del requisito tecnico o prestazionale che l’oper</w:t>
            </w:r>
            <w:r>
              <w:rPr>
                <w:rFonts w:cs="Times New Roman"/>
                <w:sz w:val="16"/>
                <w:szCs w:val="16"/>
              </w:rPr>
              <w:t xml:space="preserve">atore </w:t>
            </w:r>
            <w:r>
              <w:rPr>
                <w:rFonts w:cs="Times New Roman"/>
                <w:sz w:val="16"/>
                <w:szCs w:val="16"/>
              </w:rPr>
              <w:lastRenderedPageBreak/>
              <w:t>economico intende offrire (non sono ammessi link a URL).</w:t>
            </w:r>
          </w:p>
        </w:tc>
      </w:tr>
      <w:tr w:rsidR="00376093" w:rsidRPr="0003029A" w14:paraId="336D78C6" w14:textId="77777777" w:rsidTr="00376093">
        <w:trPr>
          <w:trHeight w:val="552"/>
        </w:trPr>
        <w:tc>
          <w:tcPr>
            <w:tcW w:w="5367" w:type="dxa"/>
            <w:shd w:val="clear" w:color="auto" w:fill="D9D9D9"/>
            <w:vAlign w:val="center"/>
          </w:tcPr>
          <w:p w14:paraId="41F0DB46" w14:textId="77777777" w:rsidR="00376093" w:rsidRPr="00C84E8C" w:rsidRDefault="00376093" w:rsidP="00376093">
            <w:pPr>
              <w:rPr>
                <w:bCs/>
                <w:sz w:val="16"/>
                <w:szCs w:val="16"/>
              </w:rPr>
            </w:pPr>
            <w:r>
              <w:rPr>
                <w:bCs/>
                <w:sz w:val="16"/>
                <w:szCs w:val="16"/>
              </w:rPr>
              <w:lastRenderedPageBreak/>
              <w:t>G</w:t>
            </w:r>
            <w:r w:rsidRPr="00041DFF">
              <w:rPr>
                <w:bCs/>
                <w:sz w:val="16"/>
                <w:szCs w:val="16"/>
              </w:rPr>
              <w:t>iornata di formazione (6 ore/giornata) aggiuntiva, rispetto al minimo richiesto nel capitolato tecnico</w:t>
            </w:r>
            <w:r>
              <w:rPr>
                <w:bCs/>
                <w:sz w:val="16"/>
                <w:szCs w:val="16"/>
              </w:rPr>
              <w:t xml:space="preserve"> - </w:t>
            </w:r>
            <w:r w:rsidRPr="00376093">
              <w:rPr>
                <w:bCs/>
                <w:sz w:val="16"/>
                <w:szCs w:val="16"/>
              </w:rPr>
              <w:t>0,25 punti/giornata</w:t>
            </w:r>
          </w:p>
        </w:tc>
        <w:tc>
          <w:tcPr>
            <w:tcW w:w="1225" w:type="dxa"/>
            <w:shd w:val="clear" w:color="auto" w:fill="D9D9D9"/>
            <w:vAlign w:val="center"/>
          </w:tcPr>
          <w:p w14:paraId="5018D6AF" w14:textId="77777777" w:rsidR="00376093" w:rsidRPr="007067EE" w:rsidRDefault="00376093" w:rsidP="00376093">
            <w:pPr>
              <w:jc w:val="center"/>
              <w:rPr>
                <w:bCs/>
              </w:rPr>
            </w:pPr>
            <w:r>
              <w:rPr>
                <w:rFonts w:cs="Times New Roman"/>
                <w:bCs/>
                <w:sz w:val="16"/>
                <w:szCs w:val="16"/>
              </w:rPr>
              <w:t>1</w:t>
            </w:r>
            <w:r w:rsidR="00203400">
              <w:rPr>
                <w:rFonts w:cs="Times New Roman"/>
                <w:bCs/>
                <w:sz w:val="16"/>
                <w:szCs w:val="16"/>
              </w:rPr>
              <w:t xml:space="preserve"> </w:t>
            </w:r>
            <w:proofErr w:type="spellStart"/>
            <w:r w:rsidR="00203400">
              <w:rPr>
                <w:rFonts w:cs="Times New Roman"/>
                <w:bCs/>
                <w:sz w:val="16"/>
                <w:szCs w:val="16"/>
              </w:rPr>
              <w:t>max</w:t>
            </w:r>
            <w:proofErr w:type="spellEnd"/>
          </w:p>
        </w:tc>
        <w:tc>
          <w:tcPr>
            <w:tcW w:w="780" w:type="dxa"/>
            <w:shd w:val="clear" w:color="auto" w:fill="D9D9D9"/>
          </w:tcPr>
          <w:p w14:paraId="63F0D1A3" w14:textId="77777777" w:rsidR="00376093" w:rsidRPr="0003029A" w:rsidRDefault="00376093" w:rsidP="00376093">
            <w:pPr>
              <w:snapToGrid w:val="0"/>
              <w:jc w:val="both"/>
              <w:rPr>
                <w:rFonts w:cs="Times New Roman"/>
                <w:b/>
                <w:sz w:val="16"/>
                <w:szCs w:val="16"/>
              </w:rPr>
            </w:pPr>
          </w:p>
        </w:tc>
        <w:tc>
          <w:tcPr>
            <w:tcW w:w="2212" w:type="dxa"/>
            <w:shd w:val="clear" w:color="auto" w:fill="D9D9D9"/>
          </w:tcPr>
          <w:p w14:paraId="28A740CB" w14:textId="77777777" w:rsidR="00376093" w:rsidRPr="0003029A" w:rsidRDefault="00376093" w:rsidP="00376093">
            <w:pPr>
              <w:snapToGrid w:val="0"/>
              <w:jc w:val="both"/>
              <w:rPr>
                <w:rFonts w:cs="Times New Roman"/>
                <w:b/>
                <w:sz w:val="16"/>
                <w:szCs w:val="16"/>
              </w:rPr>
            </w:pPr>
          </w:p>
        </w:tc>
      </w:tr>
      <w:tr w:rsidR="00376093" w:rsidRPr="0003029A" w14:paraId="6D802EDF" w14:textId="77777777" w:rsidTr="00376093">
        <w:trPr>
          <w:trHeight w:val="241"/>
        </w:trPr>
        <w:tc>
          <w:tcPr>
            <w:tcW w:w="5367" w:type="dxa"/>
            <w:shd w:val="clear" w:color="auto" w:fill="D9D9D9"/>
            <w:vAlign w:val="center"/>
          </w:tcPr>
          <w:p w14:paraId="09BF1348" w14:textId="77777777" w:rsidR="00376093" w:rsidRPr="007F30D3" w:rsidRDefault="00376093" w:rsidP="00376093">
            <w:pPr>
              <w:rPr>
                <w:rFonts w:cs="Calibri"/>
                <w:sz w:val="16"/>
                <w:szCs w:val="16"/>
              </w:rPr>
            </w:pPr>
            <w:r w:rsidRPr="005840D3">
              <w:rPr>
                <w:rFonts w:cs="Calibri"/>
                <w:sz w:val="16"/>
                <w:szCs w:val="16"/>
              </w:rPr>
              <w:t xml:space="preserve">La soluzione proposta ha la completa separazione fisica e hardware tra le componenti "Data </w:t>
            </w:r>
            <w:proofErr w:type="spellStart"/>
            <w:r w:rsidRPr="005840D3">
              <w:rPr>
                <w:rFonts w:cs="Calibri"/>
                <w:sz w:val="16"/>
                <w:szCs w:val="16"/>
              </w:rPr>
              <w:t>Plane</w:t>
            </w:r>
            <w:proofErr w:type="spellEnd"/>
            <w:r w:rsidRPr="005840D3">
              <w:rPr>
                <w:rFonts w:cs="Calibri"/>
                <w:sz w:val="16"/>
                <w:szCs w:val="16"/>
              </w:rPr>
              <w:t xml:space="preserve">" dedicate al traffico e le componenti "Control </w:t>
            </w:r>
            <w:proofErr w:type="spellStart"/>
            <w:r w:rsidRPr="005840D3">
              <w:rPr>
                <w:rFonts w:cs="Calibri"/>
                <w:sz w:val="16"/>
                <w:szCs w:val="16"/>
              </w:rPr>
              <w:t>Plane</w:t>
            </w:r>
            <w:proofErr w:type="spellEnd"/>
            <w:r w:rsidRPr="005840D3">
              <w:rPr>
                <w:rFonts w:cs="Calibri"/>
                <w:sz w:val="16"/>
                <w:szCs w:val="16"/>
              </w:rPr>
              <w:t>" dedicate alla gestione</w:t>
            </w:r>
          </w:p>
        </w:tc>
        <w:tc>
          <w:tcPr>
            <w:tcW w:w="1225" w:type="dxa"/>
            <w:shd w:val="clear" w:color="auto" w:fill="D9D9D9"/>
            <w:vAlign w:val="center"/>
          </w:tcPr>
          <w:p w14:paraId="02537259" w14:textId="77777777" w:rsidR="00376093" w:rsidRPr="0003029A" w:rsidRDefault="00376093" w:rsidP="00376093">
            <w:pPr>
              <w:jc w:val="center"/>
            </w:pPr>
            <w:r>
              <w:rPr>
                <w:rFonts w:cs="Times New Roman"/>
                <w:sz w:val="16"/>
                <w:szCs w:val="16"/>
                <w:lang w:val="en-US"/>
              </w:rPr>
              <w:t>2</w:t>
            </w:r>
          </w:p>
        </w:tc>
        <w:tc>
          <w:tcPr>
            <w:tcW w:w="780" w:type="dxa"/>
            <w:shd w:val="clear" w:color="auto" w:fill="D9D9D9"/>
          </w:tcPr>
          <w:p w14:paraId="565674DB" w14:textId="77777777" w:rsidR="00376093" w:rsidRPr="0003029A" w:rsidRDefault="00376093" w:rsidP="00376093">
            <w:pPr>
              <w:snapToGrid w:val="0"/>
              <w:jc w:val="both"/>
              <w:rPr>
                <w:rFonts w:cs="Times New Roman"/>
                <w:sz w:val="16"/>
                <w:szCs w:val="16"/>
                <w:lang w:val="en-US"/>
              </w:rPr>
            </w:pPr>
          </w:p>
        </w:tc>
        <w:tc>
          <w:tcPr>
            <w:tcW w:w="2212" w:type="dxa"/>
            <w:shd w:val="clear" w:color="auto" w:fill="D9D9D9"/>
          </w:tcPr>
          <w:p w14:paraId="4DCDDC10" w14:textId="77777777" w:rsidR="00376093" w:rsidRPr="0003029A" w:rsidRDefault="00376093" w:rsidP="00376093">
            <w:pPr>
              <w:snapToGrid w:val="0"/>
              <w:jc w:val="both"/>
              <w:rPr>
                <w:rFonts w:cs="Times New Roman"/>
                <w:sz w:val="16"/>
                <w:szCs w:val="16"/>
                <w:lang w:val="en-US"/>
              </w:rPr>
            </w:pPr>
          </w:p>
        </w:tc>
      </w:tr>
      <w:tr w:rsidR="00376093" w:rsidRPr="0003029A" w14:paraId="1C0E8FDE" w14:textId="77777777" w:rsidTr="00376093">
        <w:trPr>
          <w:trHeight w:val="241"/>
        </w:trPr>
        <w:tc>
          <w:tcPr>
            <w:tcW w:w="5367" w:type="dxa"/>
            <w:shd w:val="clear" w:color="auto" w:fill="D9D9D9"/>
            <w:vAlign w:val="center"/>
          </w:tcPr>
          <w:p w14:paraId="699311C7" w14:textId="77777777" w:rsidR="00376093" w:rsidRPr="007F30D3" w:rsidRDefault="00376093" w:rsidP="00376093">
            <w:pPr>
              <w:rPr>
                <w:rFonts w:cs="Calibri"/>
                <w:sz w:val="16"/>
                <w:szCs w:val="16"/>
              </w:rPr>
            </w:pPr>
            <w:r w:rsidRPr="005840D3">
              <w:rPr>
                <w:rFonts w:cs="Calibri"/>
                <w:sz w:val="16"/>
                <w:szCs w:val="16"/>
              </w:rPr>
              <w:t xml:space="preserve">La soluzione proposta permette di configurare contemporaneamente e tutte le interfacce fisiche in modalità “trasparente” (da non confondere/assimilare alla modalità L2). In questa modalità il firewall si comporta come un elemento di Livello 1 ISO/OSI inoltrando le PDU dei vari protocolli di Livello 2, come le BPDU dello </w:t>
            </w:r>
            <w:proofErr w:type="spellStart"/>
            <w:r w:rsidRPr="005840D3">
              <w:rPr>
                <w:rFonts w:cs="Calibri"/>
                <w:sz w:val="16"/>
                <w:szCs w:val="16"/>
              </w:rPr>
              <w:t>Spanning</w:t>
            </w:r>
            <w:proofErr w:type="spellEnd"/>
            <w:r w:rsidRPr="005840D3">
              <w:rPr>
                <w:rFonts w:cs="Calibri"/>
                <w:sz w:val="16"/>
                <w:szCs w:val="16"/>
              </w:rPr>
              <w:t xml:space="preserve"> </w:t>
            </w:r>
            <w:proofErr w:type="spellStart"/>
            <w:r w:rsidRPr="005840D3">
              <w:rPr>
                <w:rFonts w:cs="Calibri"/>
                <w:sz w:val="16"/>
                <w:szCs w:val="16"/>
              </w:rPr>
              <w:t>Tree</w:t>
            </w:r>
            <w:proofErr w:type="spellEnd"/>
            <w:r w:rsidRPr="005840D3">
              <w:rPr>
                <w:rFonts w:cs="Calibri"/>
                <w:sz w:val="16"/>
                <w:szCs w:val="16"/>
              </w:rPr>
              <w:t xml:space="preserve"> o le PDU dell'LACP. L'implementazione </w:t>
            </w:r>
            <w:r>
              <w:rPr>
                <w:rFonts w:cs="Calibri"/>
                <w:sz w:val="16"/>
                <w:szCs w:val="16"/>
              </w:rPr>
              <w:t>della seguente modalità “trasparente”</w:t>
            </w:r>
            <w:r w:rsidRPr="005840D3">
              <w:rPr>
                <w:rFonts w:cs="Calibri"/>
                <w:sz w:val="16"/>
                <w:szCs w:val="16"/>
              </w:rPr>
              <w:t xml:space="preserve"> prevede che il firewall sia installato in modo trasparente su un segmento di rete, attraverso il </w:t>
            </w:r>
            <w:proofErr w:type="spellStart"/>
            <w:r w:rsidRPr="005840D3">
              <w:rPr>
                <w:rFonts w:cs="Calibri"/>
                <w:sz w:val="16"/>
                <w:szCs w:val="16"/>
              </w:rPr>
              <w:t>binding</w:t>
            </w:r>
            <w:proofErr w:type="spellEnd"/>
            <w:r w:rsidRPr="005840D3">
              <w:rPr>
                <w:rFonts w:cs="Calibri"/>
                <w:sz w:val="16"/>
                <w:szCs w:val="16"/>
              </w:rPr>
              <w:t xml:space="preserve"> di due interfacce del firewall insieme. La modalità </w:t>
            </w:r>
            <w:r>
              <w:rPr>
                <w:rFonts w:cs="Calibri"/>
                <w:sz w:val="16"/>
                <w:szCs w:val="16"/>
              </w:rPr>
              <w:t>“trasparente”</w:t>
            </w:r>
            <w:r w:rsidRPr="005840D3">
              <w:rPr>
                <w:rFonts w:cs="Calibri"/>
                <w:sz w:val="16"/>
                <w:szCs w:val="16"/>
              </w:rPr>
              <w:t xml:space="preserve"> connette logicamente le due interfacce, essendo intern</w:t>
            </w:r>
            <w:r>
              <w:rPr>
                <w:rFonts w:cs="Calibri"/>
                <w:sz w:val="16"/>
                <w:szCs w:val="16"/>
              </w:rPr>
              <w:t>a</w:t>
            </w:r>
            <w:r w:rsidRPr="005840D3">
              <w:rPr>
                <w:rFonts w:cs="Calibri"/>
                <w:sz w:val="16"/>
                <w:szCs w:val="16"/>
              </w:rPr>
              <w:t xml:space="preserve"> al firewall</w:t>
            </w:r>
            <w:r>
              <w:rPr>
                <w:rFonts w:cs="Calibri"/>
                <w:sz w:val="16"/>
                <w:szCs w:val="16"/>
              </w:rPr>
              <w:t xml:space="preserve"> e crea una</w:t>
            </w:r>
            <w:r w:rsidRPr="005840D3">
              <w:rPr>
                <w:rFonts w:cs="Calibri"/>
                <w:sz w:val="16"/>
                <w:szCs w:val="16"/>
              </w:rPr>
              <w:t xml:space="preserve"> topologia</w:t>
            </w:r>
            <w:r>
              <w:rPr>
                <w:rFonts w:cs="Calibri"/>
                <w:sz w:val="16"/>
                <w:szCs w:val="16"/>
              </w:rPr>
              <w:t xml:space="preserve"> di rete</w:t>
            </w:r>
            <w:r w:rsidRPr="005840D3">
              <w:rPr>
                <w:rFonts w:cs="Calibri"/>
                <w:sz w:val="16"/>
                <w:szCs w:val="16"/>
              </w:rPr>
              <w:t xml:space="preserve"> che non prevede alcun </w:t>
            </w:r>
            <w:proofErr w:type="spellStart"/>
            <w:r w:rsidRPr="005840D3">
              <w:rPr>
                <w:rFonts w:cs="Calibri"/>
                <w:sz w:val="16"/>
                <w:szCs w:val="16"/>
              </w:rPr>
              <w:t>routing</w:t>
            </w:r>
            <w:proofErr w:type="spellEnd"/>
            <w:r w:rsidRPr="005840D3">
              <w:rPr>
                <w:rFonts w:cs="Calibri"/>
                <w:sz w:val="16"/>
                <w:szCs w:val="16"/>
              </w:rPr>
              <w:t xml:space="preserve"> o switching per le due interfacce collegate</w:t>
            </w:r>
          </w:p>
        </w:tc>
        <w:tc>
          <w:tcPr>
            <w:tcW w:w="1225" w:type="dxa"/>
            <w:shd w:val="clear" w:color="auto" w:fill="D9D9D9"/>
            <w:vAlign w:val="center"/>
          </w:tcPr>
          <w:p w14:paraId="4A1DE75E" w14:textId="77777777" w:rsidR="00376093" w:rsidRPr="0003029A" w:rsidRDefault="00376093" w:rsidP="00376093">
            <w:pPr>
              <w:jc w:val="center"/>
            </w:pPr>
            <w:r>
              <w:rPr>
                <w:rFonts w:cs="Times New Roman"/>
                <w:sz w:val="16"/>
                <w:szCs w:val="16"/>
                <w:lang w:val="en-US"/>
              </w:rPr>
              <w:t>5</w:t>
            </w:r>
          </w:p>
        </w:tc>
        <w:tc>
          <w:tcPr>
            <w:tcW w:w="780" w:type="dxa"/>
            <w:shd w:val="clear" w:color="auto" w:fill="D9D9D9"/>
          </w:tcPr>
          <w:p w14:paraId="7841E673" w14:textId="77777777" w:rsidR="00376093" w:rsidRPr="0003029A" w:rsidRDefault="00376093" w:rsidP="00376093">
            <w:pPr>
              <w:snapToGrid w:val="0"/>
              <w:jc w:val="both"/>
              <w:rPr>
                <w:rFonts w:cs="Times New Roman"/>
                <w:sz w:val="16"/>
                <w:szCs w:val="16"/>
                <w:u w:val="single"/>
                <w:lang w:val="en-US"/>
              </w:rPr>
            </w:pPr>
          </w:p>
        </w:tc>
        <w:tc>
          <w:tcPr>
            <w:tcW w:w="2212" w:type="dxa"/>
            <w:shd w:val="clear" w:color="auto" w:fill="D9D9D9"/>
          </w:tcPr>
          <w:p w14:paraId="1332B9CC" w14:textId="77777777" w:rsidR="00376093" w:rsidRPr="0003029A" w:rsidRDefault="00376093" w:rsidP="00376093">
            <w:pPr>
              <w:snapToGrid w:val="0"/>
              <w:jc w:val="both"/>
              <w:rPr>
                <w:rFonts w:cs="Times New Roman"/>
                <w:sz w:val="16"/>
                <w:szCs w:val="16"/>
                <w:u w:val="single"/>
                <w:lang w:val="en-US"/>
              </w:rPr>
            </w:pPr>
          </w:p>
        </w:tc>
      </w:tr>
      <w:tr w:rsidR="00376093" w:rsidRPr="0003029A" w14:paraId="73165CF6" w14:textId="77777777" w:rsidTr="00376093">
        <w:trPr>
          <w:trHeight w:val="241"/>
        </w:trPr>
        <w:tc>
          <w:tcPr>
            <w:tcW w:w="5367" w:type="dxa"/>
            <w:shd w:val="clear" w:color="auto" w:fill="D9D9D9"/>
            <w:vAlign w:val="center"/>
          </w:tcPr>
          <w:p w14:paraId="75B1F96F" w14:textId="77777777" w:rsidR="00376093" w:rsidRPr="005840D3" w:rsidRDefault="00376093" w:rsidP="00376093">
            <w:pPr>
              <w:rPr>
                <w:rFonts w:cs="Calibri"/>
                <w:sz w:val="16"/>
                <w:szCs w:val="16"/>
              </w:rPr>
            </w:pPr>
            <w:r w:rsidRPr="005840D3">
              <w:rPr>
                <w:rFonts w:cs="Calibri"/>
                <w:sz w:val="16"/>
                <w:szCs w:val="16"/>
              </w:rPr>
              <w:t xml:space="preserve">La soluzione proposta integra nativamente una tecnologia di Single Pass </w:t>
            </w:r>
            <w:proofErr w:type="spellStart"/>
            <w:r w:rsidRPr="005840D3">
              <w:rPr>
                <w:rFonts w:cs="Calibri"/>
                <w:sz w:val="16"/>
                <w:szCs w:val="16"/>
              </w:rPr>
              <w:t>Parallel</w:t>
            </w:r>
            <w:proofErr w:type="spellEnd"/>
            <w:r w:rsidRPr="005840D3">
              <w:rPr>
                <w:rFonts w:cs="Calibri"/>
                <w:sz w:val="16"/>
                <w:szCs w:val="16"/>
              </w:rPr>
              <w:t xml:space="preserve"> Processing, in base alla quale le analisi dei pacchetti per il riconoscimento dell'applicazione, dell'utente e del contenuto applicativo avvengono contemporaneamente. La modalità di Single Pass </w:t>
            </w:r>
            <w:proofErr w:type="spellStart"/>
            <w:r w:rsidRPr="005840D3">
              <w:rPr>
                <w:rFonts w:cs="Calibri"/>
                <w:sz w:val="16"/>
                <w:szCs w:val="16"/>
              </w:rPr>
              <w:t>Parallel</w:t>
            </w:r>
            <w:proofErr w:type="spellEnd"/>
            <w:r w:rsidRPr="005840D3">
              <w:rPr>
                <w:rFonts w:cs="Calibri"/>
                <w:sz w:val="16"/>
                <w:szCs w:val="16"/>
              </w:rPr>
              <w:t xml:space="preserve"> Processing (SP3) fornisce maggiori performance rispetto ad approcci di tipo UTM: il pacchetto di rete viene esaminato in un singolo passaggio, riducendo molte funzioni ridondanti e l’overhead derivante da tali funzioni.</w:t>
            </w:r>
          </w:p>
          <w:p w14:paraId="47BB0398" w14:textId="77777777" w:rsidR="00376093" w:rsidRPr="007F30D3" w:rsidRDefault="00376093" w:rsidP="00376093">
            <w:pPr>
              <w:rPr>
                <w:rFonts w:cs="Calibri"/>
                <w:sz w:val="16"/>
                <w:szCs w:val="16"/>
              </w:rPr>
            </w:pPr>
            <w:r w:rsidRPr="005840D3">
              <w:rPr>
                <w:rFonts w:cs="Calibri"/>
                <w:sz w:val="16"/>
                <w:szCs w:val="16"/>
              </w:rPr>
              <w:t xml:space="preserve">Non è previsto l’utilizzo di </w:t>
            </w:r>
            <w:proofErr w:type="spellStart"/>
            <w:r w:rsidRPr="005840D3">
              <w:rPr>
                <w:rFonts w:cs="Calibri"/>
                <w:sz w:val="16"/>
                <w:szCs w:val="16"/>
              </w:rPr>
              <w:t>engine</w:t>
            </w:r>
            <w:proofErr w:type="spellEnd"/>
            <w:r w:rsidRPr="005840D3">
              <w:rPr>
                <w:rFonts w:cs="Calibri"/>
                <w:sz w:val="16"/>
                <w:szCs w:val="16"/>
              </w:rPr>
              <w:t xml:space="preserve"> e set di signature separati né di proxy che richiedono il download dei contenuti prima di effettuare l’analisi</w:t>
            </w:r>
          </w:p>
        </w:tc>
        <w:tc>
          <w:tcPr>
            <w:tcW w:w="1225" w:type="dxa"/>
            <w:shd w:val="clear" w:color="auto" w:fill="D9D9D9"/>
            <w:vAlign w:val="center"/>
          </w:tcPr>
          <w:p w14:paraId="6C85CA30" w14:textId="77777777" w:rsidR="00376093" w:rsidRPr="0003029A" w:rsidRDefault="00376093" w:rsidP="00376093">
            <w:pPr>
              <w:jc w:val="center"/>
            </w:pPr>
            <w:r>
              <w:rPr>
                <w:rFonts w:cs="Times New Roman"/>
                <w:sz w:val="16"/>
                <w:szCs w:val="16"/>
              </w:rPr>
              <w:t>8</w:t>
            </w:r>
          </w:p>
        </w:tc>
        <w:tc>
          <w:tcPr>
            <w:tcW w:w="780" w:type="dxa"/>
            <w:shd w:val="clear" w:color="auto" w:fill="D9D9D9"/>
          </w:tcPr>
          <w:p w14:paraId="63AA89D3" w14:textId="77777777" w:rsidR="00376093" w:rsidRPr="0003029A" w:rsidRDefault="00376093" w:rsidP="00376093">
            <w:pPr>
              <w:snapToGrid w:val="0"/>
              <w:jc w:val="both"/>
              <w:rPr>
                <w:rFonts w:cs="Times New Roman"/>
                <w:sz w:val="16"/>
                <w:szCs w:val="16"/>
              </w:rPr>
            </w:pPr>
          </w:p>
        </w:tc>
        <w:tc>
          <w:tcPr>
            <w:tcW w:w="2212" w:type="dxa"/>
            <w:shd w:val="clear" w:color="auto" w:fill="D9D9D9"/>
          </w:tcPr>
          <w:p w14:paraId="20763D32" w14:textId="77777777" w:rsidR="00376093" w:rsidRPr="0003029A" w:rsidRDefault="00376093" w:rsidP="00376093">
            <w:pPr>
              <w:snapToGrid w:val="0"/>
              <w:jc w:val="both"/>
              <w:rPr>
                <w:rFonts w:cs="Times New Roman"/>
                <w:sz w:val="16"/>
                <w:szCs w:val="16"/>
              </w:rPr>
            </w:pPr>
          </w:p>
        </w:tc>
      </w:tr>
      <w:tr w:rsidR="00376093" w:rsidRPr="0003029A" w14:paraId="47FF3E6B" w14:textId="77777777" w:rsidTr="00376093">
        <w:trPr>
          <w:trHeight w:val="241"/>
        </w:trPr>
        <w:tc>
          <w:tcPr>
            <w:tcW w:w="5367" w:type="dxa"/>
            <w:shd w:val="clear" w:color="auto" w:fill="D9D9D9"/>
            <w:vAlign w:val="center"/>
          </w:tcPr>
          <w:p w14:paraId="3BF9333E" w14:textId="77777777" w:rsidR="00376093" w:rsidRPr="00C161CF" w:rsidRDefault="00376093" w:rsidP="00376093">
            <w:pPr>
              <w:rPr>
                <w:rFonts w:cs="Calibri"/>
                <w:sz w:val="16"/>
                <w:szCs w:val="16"/>
              </w:rPr>
            </w:pPr>
            <w:r w:rsidRPr="00C161CF">
              <w:rPr>
                <w:rFonts w:cs="Calibri"/>
                <w:sz w:val="16"/>
                <w:szCs w:val="16"/>
              </w:rPr>
              <w:t xml:space="preserve">La soluzione proposta integra nativamente un motore di SSL </w:t>
            </w:r>
            <w:proofErr w:type="spellStart"/>
            <w:r w:rsidRPr="00C161CF">
              <w:rPr>
                <w:rFonts w:cs="Calibri"/>
                <w:sz w:val="16"/>
                <w:szCs w:val="16"/>
              </w:rPr>
              <w:t>Decryption</w:t>
            </w:r>
            <w:proofErr w:type="spellEnd"/>
            <w:r w:rsidRPr="00C161CF">
              <w:rPr>
                <w:rFonts w:cs="Calibri"/>
                <w:sz w:val="16"/>
                <w:szCs w:val="16"/>
              </w:rPr>
              <w:t xml:space="preserve"> Broker: SSL </w:t>
            </w:r>
            <w:proofErr w:type="spellStart"/>
            <w:r w:rsidRPr="00C161CF">
              <w:rPr>
                <w:rFonts w:cs="Calibri"/>
                <w:sz w:val="16"/>
                <w:szCs w:val="16"/>
              </w:rPr>
              <w:t>Decryption</w:t>
            </w:r>
            <w:proofErr w:type="spellEnd"/>
            <w:r w:rsidRPr="00C161CF">
              <w:rPr>
                <w:rFonts w:cs="Calibri"/>
                <w:sz w:val="16"/>
                <w:szCs w:val="16"/>
              </w:rPr>
              <w:t xml:space="preserve"> è la capacità di vedere internamente il </w:t>
            </w:r>
            <w:proofErr w:type="spellStart"/>
            <w:r w:rsidRPr="00C161CF">
              <w:rPr>
                <w:rFonts w:cs="Calibri"/>
                <w:sz w:val="16"/>
                <w:szCs w:val="16"/>
              </w:rPr>
              <w:t>traffic</w:t>
            </w:r>
            <w:proofErr w:type="spellEnd"/>
            <w:r w:rsidRPr="00C161CF">
              <w:rPr>
                <w:rFonts w:cs="Calibri"/>
                <w:sz w:val="16"/>
                <w:szCs w:val="16"/>
              </w:rPr>
              <w:t xml:space="preserve"> SSL non appena attraversa il firewall. Il firewall inoltra il traffico decriptato alla security chain, per poi criptarlo quando lo riceve indietro dall'ultimo elemento della security chain. In questo modo si evita di effettuare </w:t>
            </w:r>
            <w:proofErr w:type="spellStart"/>
            <w:r w:rsidRPr="00C161CF">
              <w:rPr>
                <w:rFonts w:cs="Calibri"/>
                <w:sz w:val="16"/>
                <w:szCs w:val="16"/>
              </w:rPr>
              <w:t>decryption</w:t>
            </w:r>
            <w:proofErr w:type="spellEnd"/>
            <w:r w:rsidRPr="00C161CF">
              <w:rPr>
                <w:rFonts w:cs="Calibri"/>
                <w:sz w:val="16"/>
                <w:szCs w:val="16"/>
              </w:rPr>
              <w:t>/</w:t>
            </w:r>
            <w:proofErr w:type="spellStart"/>
            <w:r w:rsidRPr="00C161CF">
              <w:rPr>
                <w:rFonts w:cs="Calibri"/>
                <w:sz w:val="16"/>
                <w:szCs w:val="16"/>
              </w:rPr>
              <w:t>encryption</w:t>
            </w:r>
            <w:proofErr w:type="spellEnd"/>
            <w:r w:rsidRPr="00C161CF">
              <w:rPr>
                <w:rFonts w:cs="Calibri"/>
                <w:sz w:val="16"/>
                <w:szCs w:val="16"/>
              </w:rPr>
              <w:t xml:space="preserve"> ad ogni passo. Tale funzionalità non deve essere limitata al solo traffico HTTPS, ma estese anche ad applicazioni come FTPS e SSH. </w:t>
            </w:r>
          </w:p>
          <w:p w14:paraId="622F9E53" w14:textId="77777777" w:rsidR="00376093" w:rsidRPr="007F30D3" w:rsidRDefault="00376093" w:rsidP="00376093">
            <w:pPr>
              <w:rPr>
                <w:rFonts w:cs="Calibri"/>
                <w:sz w:val="16"/>
                <w:szCs w:val="16"/>
              </w:rPr>
            </w:pPr>
            <w:r w:rsidRPr="00C161CF">
              <w:rPr>
                <w:rFonts w:cs="Calibri"/>
                <w:sz w:val="16"/>
                <w:szCs w:val="16"/>
              </w:rPr>
              <w:t>Grazie a queste funzionalità, se i dati sono originati dall’interno della rete, è possibile trovare applicazioni e minacce nascoste nel traffico cifrato</w:t>
            </w:r>
          </w:p>
        </w:tc>
        <w:tc>
          <w:tcPr>
            <w:tcW w:w="1225" w:type="dxa"/>
            <w:shd w:val="clear" w:color="auto" w:fill="D9D9D9"/>
            <w:vAlign w:val="center"/>
          </w:tcPr>
          <w:p w14:paraId="57D9B6F5" w14:textId="77777777" w:rsidR="00376093" w:rsidRPr="0003029A" w:rsidRDefault="00376093" w:rsidP="00376093">
            <w:pPr>
              <w:jc w:val="center"/>
            </w:pPr>
            <w:r>
              <w:rPr>
                <w:rFonts w:cs="Times New Roman"/>
                <w:sz w:val="16"/>
                <w:szCs w:val="16"/>
              </w:rPr>
              <w:t>3</w:t>
            </w:r>
          </w:p>
        </w:tc>
        <w:tc>
          <w:tcPr>
            <w:tcW w:w="780" w:type="dxa"/>
            <w:shd w:val="clear" w:color="auto" w:fill="D9D9D9"/>
          </w:tcPr>
          <w:p w14:paraId="564CC8EB" w14:textId="77777777" w:rsidR="00376093" w:rsidRPr="0003029A" w:rsidRDefault="00376093" w:rsidP="00376093">
            <w:pPr>
              <w:snapToGrid w:val="0"/>
              <w:jc w:val="both"/>
              <w:rPr>
                <w:rFonts w:cs="Times New Roman"/>
                <w:sz w:val="16"/>
                <w:szCs w:val="16"/>
              </w:rPr>
            </w:pPr>
          </w:p>
        </w:tc>
        <w:tc>
          <w:tcPr>
            <w:tcW w:w="2212" w:type="dxa"/>
            <w:shd w:val="clear" w:color="auto" w:fill="D9D9D9"/>
          </w:tcPr>
          <w:p w14:paraId="5AC4B922" w14:textId="77777777" w:rsidR="00376093" w:rsidRPr="0003029A" w:rsidRDefault="00376093" w:rsidP="00376093">
            <w:pPr>
              <w:snapToGrid w:val="0"/>
              <w:jc w:val="both"/>
              <w:rPr>
                <w:rFonts w:cs="Times New Roman"/>
                <w:sz w:val="16"/>
                <w:szCs w:val="16"/>
              </w:rPr>
            </w:pPr>
          </w:p>
        </w:tc>
      </w:tr>
      <w:tr w:rsidR="00376093" w:rsidRPr="0003029A" w14:paraId="2583FE1C" w14:textId="77777777" w:rsidTr="00376093">
        <w:trPr>
          <w:trHeight w:val="241"/>
        </w:trPr>
        <w:tc>
          <w:tcPr>
            <w:tcW w:w="5367" w:type="dxa"/>
            <w:shd w:val="clear" w:color="auto" w:fill="D9D9D9"/>
            <w:vAlign w:val="center"/>
          </w:tcPr>
          <w:p w14:paraId="260A6C62" w14:textId="77777777" w:rsidR="00376093" w:rsidRPr="007F30D3" w:rsidRDefault="00376093" w:rsidP="00376093">
            <w:pPr>
              <w:rPr>
                <w:rFonts w:cs="Calibri"/>
                <w:sz w:val="16"/>
                <w:szCs w:val="16"/>
              </w:rPr>
            </w:pPr>
            <w:r w:rsidRPr="00C161CF">
              <w:rPr>
                <w:rFonts w:cs="Calibri"/>
                <w:sz w:val="16"/>
                <w:szCs w:val="16"/>
              </w:rPr>
              <w:t xml:space="preserve">La soluzione proposta integra nativamente funzionalità di DNS Security, per la protezione del traffico DNS. Le funzionalità di DNS Security applicano </w:t>
            </w:r>
            <w:proofErr w:type="spellStart"/>
            <w:r w:rsidRPr="00C161CF">
              <w:rPr>
                <w:rFonts w:cs="Calibri"/>
                <w:sz w:val="16"/>
                <w:szCs w:val="16"/>
              </w:rPr>
              <w:t>predictive</w:t>
            </w:r>
            <w:proofErr w:type="spellEnd"/>
            <w:r w:rsidRPr="00C161CF">
              <w:rPr>
                <w:rFonts w:cs="Calibri"/>
                <w:sz w:val="16"/>
                <w:szCs w:val="16"/>
              </w:rPr>
              <w:t xml:space="preserve"> </w:t>
            </w:r>
            <w:proofErr w:type="spellStart"/>
            <w:r w:rsidRPr="00C161CF">
              <w:rPr>
                <w:rFonts w:cs="Calibri"/>
                <w:sz w:val="16"/>
                <w:szCs w:val="16"/>
              </w:rPr>
              <w:t>analytics</w:t>
            </w:r>
            <w:proofErr w:type="spellEnd"/>
            <w:r w:rsidRPr="00C161CF">
              <w:rPr>
                <w:rFonts w:cs="Calibri"/>
                <w:sz w:val="16"/>
                <w:szCs w:val="16"/>
              </w:rPr>
              <w:t xml:space="preserve">, machine learning ed automazione per bloccare gli attacchi che utilizzano il DNS. </w:t>
            </w:r>
            <w:proofErr w:type="gramStart"/>
            <w:r w:rsidRPr="00C161CF">
              <w:rPr>
                <w:rFonts w:cs="Calibri"/>
                <w:sz w:val="16"/>
                <w:szCs w:val="16"/>
              </w:rPr>
              <w:t>E’</w:t>
            </w:r>
            <w:proofErr w:type="gramEnd"/>
            <w:r w:rsidRPr="00C161CF">
              <w:rPr>
                <w:rFonts w:cs="Calibri"/>
                <w:sz w:val="16"/>
                <w:szCs w:val="16"/>
              </w:rPr>
              <w:t xml:space="preserve"> possib</w:t>
            </w:r>
            <w:r>
              <w:rPr>
                <w:rFonts w:cs="Calibri"/>
                <w:sz w:val="16"/>
                <w:szCs w:val="16"/>
              </w:rPr>
              <w:t>i</w:t>
            </w:r>
            <w:r w:rsidRPr="00C161CF">
              <w:rPr>
                <w:rFonts w:cs="Calibri"/>
                <w:sz w:val="16"/>
                <w:szCs w:val="16"/>
              </w:rPr>
              <w:t xml:space="preserve">le bloccare e prevenire l’utilizzo di domini malevoli, neutralizzare le minacce nascoste nel DNS tunneling ed identificare macchine compromesse che cercano di contattare domini legati a infrastrutture di </w:t>
            </w:r>
            <w:proofErr w:type="spellStart"/>
            <w:r w:rsidRPr="00C161CF">
              <w:rPr>
                <w:rFonts w:cs="Calibri"/>
                <w:sz w:val="16"/>
                <w:szCs w:val="16"/>
              </w:rPr>
              <w:t>Command</w:t>
            </w:r>
            <w:proofErr w:type="spellEnd"/>
            <w:r w:rsidRPr="00C161CF">
              <w:rPr>
                <w:rFonts w:cs="Calibri"/>
                <w:sz w:val="16"/>
                <w:szCs w:val="16"/>
              </w:rPr>
              <w:t xml:space="preserve"> &amp; Control</w:t>
            </w:r>
          </w:p>
        </w:tc>
        <w:tc>
          <w:tcPr>
            <w:tcW w:w="1225" w:type="dxa"/>
            <w:shd w:val="clear" w:color="auto" w:fill="D9D9D9"/>
            <w:vAlign w:val="center"/>
          </w:tcPr>
          <w:p w14:paraId="78ECB973" w14:textId="77777777" w:rsidR="00376093" w:rsidRPr="0003029A" w:rsidRDefault="00376093" w:rsidP="00376093">
            <w:pPr>
              <w:jc w:val="center"/>
            </w:pPr>
            <w:r>
              <w:rPr>
                <w:rFonts w:cs="Times New Roman"/>
                <w:sz w:val="16"/>
                <w:szCs w:val="16"/>
              </w:rPr>
              <w:t>2</w:t>
            </w:r>
          </w:p>
        </w:tc>
        <w:tc>
          <w:tcPr>
            <w:tcW w:w="780" w:type="dxa"/>
            <w:shd w:val="clear" w:color="auto" w:fill="D9D9D9"/>
          </w:tcPr>
          <w:p w14:paraId="2C93666B" w14:textId="77777777" w:rsidR="00376093" w:rsidRPr="0003029A" w:rsidRDefault="00376093" w:rsidP="00376093">
            <w:pPr>
              <w:snapToGrid w:val="0"/>
              <w:ind w:left="567"/>
              <w:jc w:val="both"/>
              <w:rPr>
                <w:rFonts w:cs="Times New Roman"/>
                <w:sz w:val="16"/>
                <w:szCs w:val="16"/>
              </w:rPr>
            </w:pPr>
          </w:p>
        </w:tc>
        <w:tc>
          <w:tcPr>
            <w:tcW w:w="2212" w:type="dxa"/>
            <w:shd w:val="clear" w:color="auto" w:fill="D9D9D9"/>
          </w:tcPr>
          <w:p w14:paraId="2DCCD13E" w14:textId="77777777" w:rsidR="00376093" w:rsidRPr="0003029A" w:rsidRDefault="00376093" w:rsidP="00376093">
            <w:pPr>
              <w:snapToGrid w:val="0"/>
              <w:ind w:left="567"/>
              <w:jc w:val="both"/>
              <w:rPr>
                <w:rFonts w:cs="Times New Roman"/>
                <w:sz w:val="16"/>
                <w:szCs w:val="16"/>
              </w:rPr>
            </w:pPr>
          </w:p>
        </w:tc>
      </w:tr>
      <w:tr w:rsidR="00376093" w:rsidRPr="0003029A" w14:paraId="50ED2925" w14:textId="77777777" w:rsidTr="00376093">
        <w:trPr>
          <w:trHeight w:val="241"/>
        </w:trPr>
        <w:tc>
          <w:tcPr>
            <w:tcW w:w="5367" w:type="dxa"/>
            <w:shd w:val="clear" w:color="auto" w:fill="D9D9D9"/>
            <w:vAlign w:val="center"/>
          </w:tcPr>
          <w:p w14:paraId="53B82FB1" w14:textId="77777777" w:rsidR="00376093" w:rsidRPr="007F30D3" w:rsidRDefault="00376093" w:rsidP="00376093">
            <w:pPr>
              <w:rPr>
                <w:rFonts w:cs="Calibri"/>
                <w:sz w:val="16"/>
                <w:szCs w:val="16"/>
              </w:rPr>
            </w:pPr>
            <w:r w:rsidRPr="00C161CF">
              <w:rPr>
                <w:rFonts w:cs="Calibri"/>
                <w:sz w:val="16"/>
                <w:szCs w:val="16"/>
              </w:rPr>
              <w:t>La soluzione proposta integra nativamente funzionalità di User-ID, per la definizione di security policy basate su utenti e gruppi di utenti</w:t>
            </w:r>
          </w:p>
        </w:tc>
        <w:tc>
          <w:tcPr>
            <w:tcW w:w="1225" w:type="dxa"/>
            <w:shd w:val="clear" w:color="auto" w:fill="D9D9D9"/>
            <w:vAlign w:val="center"/>
          </w:tcPr>
          <w:p w14:paraId="5C0A89FE" w14:textId="77777777" w:rsidR="00376093" w:rsidRPr="0003029A" w:rsidRDefault="00376093" w:rsidP="00376093">
            <w:pPr>
              <w:jc w:val="center"/>
            </w:pPr>
            <w:r>
              <w:rPr>
                <w:rFonts w:cs="Times New Roman"/>
                <w:sz w:val="16"/>
                <w:szCs w:val="16"/>
              </w:rPr>
              <w:t>3</w:t>
            </w:r>
          </w:p>
        </w:tc>
        <w:tc>
          <w:tcPr>
            <w:tcW w:w="780" w:type="dxa"/>
            <w:shd w:val="clear" w:color="auto" w:fill="D9D9D9"/>
          </w:tcPr>
          <w:p w14:paraId="1B5CB64F" w14:textId="77777777" w:rsidR="00376093" w:rsidRPr="0003029A" w:rsidRDefault="00376093" w:rsidP="00376093">
            <w:pPr>
              <w:snapToGrid w:val="0"/>
              <w:jc w:val="both"/>
              <w:rPr>
                <w:rFonts w:cs="Times New Roman"/>
                <w:sz w:val="16"/>
                <w:szCs w:val="16"/>
                <w:u w:val="single"/>
              </w:rPr>
            </w:pPr>
          </w:p>
        </w:tc>
        <w:tc>
          <w:tcPr>
            <w:tcW w:w="2212" w:type="dxa"/>
            <w:shd w:val="clear" w:color="auto" w:fill="D9D9D9"/>
          </w:tcPr>
          <w:p w14:paraId="4ECAB0CB" w14:textId="77777777" w:rsidR="00376093" w:rsidRPr="0003029A" w:rsidRDefault="00376093" w:rsidP="00376093">
            <w:pPr>
              <w:snapToGrid w:val="0"/>
              <w:jc w:val="both"/>
              <w:rPr>
                <w:rFonts w:cs="Times New Roman"/>
                <w:sz w:val="16"/>
                <w:szCs w:val="16"/>
                <w:u w:val="single"/>
              </w:rPr>
            </w:pPr>
          </w:p>
        </w:tc>
      </w:tr>
      <w:tr w:rsidR="00376093" w:rsidRPr="0003029A" w14:paraId="0BF55668" w14:textId="77777777" w:rsidTr="00376093">
        <w:trPr>
          <w:trHeight w:val="241"/>
        </w:trPr>
        <w:tc>
          <w:tcPr>
            <w:tcW w:w="5367" w:type="dxa"/>
            <w:shd w:val="clear" w:color="auto" w:fill="D9D9D9"/>
            <w:vAlign w:val="center"/>
          </w:tcPr>
          <w:p w14:paraId="355062A2" w14:textId="77777777" w:rsidR="00376093" w:rsidRPr="007F30D3" w:rsidRDefault="00376093" w:rsidP="00376093">
            <w:pPr>
              <w:rPr>
                <w:rFonts w:cs="Calibri"/>
                <w:sz w:val="16"/>
                <w:szCs w:val="16"/>
              </w:rPr>
            </w:pPr>
            <w:r w:rsidRPr="00C161CF">
              <w:rPr>
                <w:rFonts w:cs="Calibri"/>
                <w:sz w:val="16"/>
                <w:szCs w:val="16"/>
              </w:rPr>
              <w:t xml:space="preserve">La soluzione proposta integra nativamente funzionalità di ottimizzazione delle security policy (Policy </w:t>
            </w:r>
            <w:proofErr w:type="spellStart"/>
            <w:r w:rsidRPr="00C161CF">
              <w:rPr>
                <w:rFonts w:cs="Calibri"/>
                <w:sz w:val="16"/>
                <w:szCs w:val="16"/>
              </w:rPr>
              <w:t>Optimizer</w:t>
            </w:r>
            <w:proofErr w:type="spellEnd"/>
            <w:r w:rsidRPr="00C161CF">
              <w:rPr>
                <w:rFonts w:cs="Calibri"/>
                <w:sz w:val="16"/>
                <w:szCs w:val="16"/>
              </w:rPr>
              <w:t>) per adeguare le policy attuali ai requisiti di controllo applicativo</w:t>
            </w:r>
          </w:p>
        </w:tc>
        <w:tc>
          <w:tcPr>
            <w:tcW w:w="1225" w:type="dxa"/>
            <w:shd w:val="clear" w:color="auto" w:fill="D9D9D9"/>
            <w:vAlign w:val="center"/>
          </w:tcPr>
          <w:p w14:paraId="67E4B3CC" w14:textId="77777777" w:rsidR="00376093" w:rsidRPr="0003029A" w:rsidRDefault="00376093" w:rsidP="00376093">
            <w:pPr>
              <w:jc w:val="center"/>
            </w:pPr>
            <w:r>
              <w:rPr>
                <w:rFonts w:cs="Times New Roman"/>
                <w:sz w:val="16"/>
                <w:szCs w:val="16"/>
              </w:rPr>
              <w:t>4</w:t>
            </w:r>
          </w:p>
        </w:tc>
        <w:tc>
          <w:tcPr>
            <w:tcW w:w="780" w:type="dxa"/>
            <w:shd w:val="clear" w:color="auto" w:fill="D9D9D9"/>
          </w:tcPr>
          <w:p w14:paraId="4BD275DF" w14:textId="77777777" w:rsidR="00376093" w:rsidRPr="0003029A" w:rsidRDefault="00376093" w:rsidP="00376093">
            <w:pPr>
              <w:snapToGrid w:val="0"/>
              <w:jc w:val="both"/>
              <w:rPr>
                <w:rFonts w:cs="Times New Roman"/>
                <w:sz w:val="16"/>
                <w:szCs w:val="16"/>
              </w:rPr>
            </w:pPr>
          </w:p>
        </w:tc>
        <w:tc>
          <w:tcPr>
            <w:tcW w:w="2212" w:type="dxa"/>
            <w:shd w:val="clear" w:color="auto" w:fill="D9D9D9"/>
          </w:tcPr>
          <w:p w14:paraId="6400C0E7" w14:textId="77777777" w:rsidR="00376093" w:rsidRPr="0003029A" w:rsidRDefault="00376093" w:rsidP="00376093">
            <w:pPr>
              <w:snapToGrid w:val="0"/>
              <w:jc w:val="both"/>
              <w:rPr>
                <w:rFonts w:cs="Times New Roman"/>
                <w:sz w:val="16"/>
                <w:szCs w:val="16"/>
              </w:rPr>
            </w:pPr>
          </w:p>
        </w:tc>
      </w:tr>
      <w:tr w:rsidR="00376093" w:rsidRPr="0003029A" w14:paraId="578FF057" w14:textId="77777777" w:rsidTr="00376093">
        <w:trPr>
          <w:trHeight w:val="241"/>
        </w:trPr>
        <w:tc>
          <w:tcPr>
            <w:tcW w:w="5367" w:type="dxa"/>
            <w:shd w:val="clear" w:color="auto" w:fill="D9D9D9"/>
            <w:vAlign w:val="center"/>
          </w:tcPr>
          <w:p w14:paraId="5E008A41" w14:textId="77777777" w:rsidR="00376093" w:rsidRPr="007F30D3" w:rsidRDefault="00376093" w:rsidP="00376093">
            <w:pPr>
              <w:rPr>
                <w:rFonts w:cs="Calibri"/>
                <w:sz w:val="16"/>
                <w:szCs w:val="16"/>
              </w:rPr>
            </w:pPr>
            <w:r w:rsidRPr="00D67C43">
              <w:rPr>
                <w:rFonts w:cs="Calibri"/>
                <w:sz w:val="16"/>
                <w:szCs w:val="16"/>
              </w:rPr>
              <w:t xml:space="preserve">Funzionalità di </w:t>
            </w:r>
            <w:proofErr w:type="spellStart"/>
            <w:r w:rsidRPr="00D67C43">
              <w:rPr>
                <w:rFonts w:cs="Calibri"/>
                <w:sz w:val="16"/>
                <w:szCs w:val="16"/>
              </w:rPr>
              <w:t>QoS</w:t>
            </w:r>
            <w:proofErr w:type="spellEnd"/>
            <w:r w:rsidRPr="00D67C43">
              <w:rPr>
                <w:rFonts w:cs="Calibri"/>
                <w:sz w:val="16"/>
                <w:szCs w:val="16"/>
              </w:rPr>
              <w:t xml:space="preserve"> con </w:t>
            </w:r>
            <w:proofErr w:type="spellStart"/>
            <w:r w:rsidRPr="00D67C43">
              <w:rPr>
                <w:rFonts w:cs="Calibri"/>
                <w:sz w:val="16"/>
                <w:szCs w:val="16"/>
              </w:rPr>
              <w:t>traffic</w:t>
            </w:r>
            <w:proofErr w:type="spellEnd"/>
            <w:r w:rsidRPr="00D67C43">
              <w:rPr>
                <w:rFonts w:cs="Calibri"/>
                <w:sz w:val="16"/>
                <w:szCs w:val="16"/>
              </w:rPr>
              <w:t xml:space="preserve"> </w:t>
            </w:r>
            <w:proofErr w:type="spellStart"/>
            <w:r w:rsidRPr="00D67C43">
              <w:rPr>
                <w:rFonts w:cs="Calibri"/>
                <w:sz w:val="16"/>
                <w:szCs w:val="16"/>
              </w:rPr>
              <w:t>shaping</w:t>
            </w:r>
            <w:proofErr w:type="spellEnd"/>
            <w:r w:rsidRPr="00D67C43">
              <w:rPr>
                <w:rFonts w:cs="Calibri"/>
                <w:sz w:val="16"/>
                <w:szCs w:val="16"/>
              </w:rPr>
              <w:t xml:space="preserve"> basato su policy (</w:t>
            </w:r>
            <w:proofErr w:type="spellStart"/>
            <w:r w:rsidRPr="00D67C43">
              <w:rPr>
                <w:rFonts w:cs="Calibri"/>
                <w:sz w:val="16"/>
                <w:szCs w:val="16"/>
              </w:rPr>
              <w:t>priority</w:t>
            </w:r>
            <w:proofErr w:type="spellEnd"/>
            <w:r w:rsidRPr="00D67C43">
              <w:rPr>
                <w:rFonts w:cs="Calibri"/>
                <w:sz w:val="16"/>
                <w:szCs w:val="16"/>
              </w:rPr>
              <w:t xml:space="preserve">, </w:t>
            </w:r>
            <w:proofErr w:type="spellStart"/>
            <w:r w:rsidRPr="00D67C43">
              <w:rPr>
                <w:rFonts w:cs="Calibri"/>
                <w:sz w:val="16"/>
                <w:szCs w:val="16"/>
              </w:rPr>
              <w:t>guaranteed</w:t>
            </w:r>
            <w:proofErr w:type="spellEnd"/>
            <w:r w:rsidRPr="00D67C43">
              <w:rPr>
                <w:rFonts w:cs="Calibri"/>
                <w:sz w:val="16"/>
                <w:szCs w:val="16"/>
              </w:rPr>
              <w:t>, maximum) per applicazioni, per utenti, per tunnel, con classificazione DSCP</w:t>
            </w:r>
          </w:p>
        </w:tc>
        <w:tc>
          <w:tcPr>
            <w:tcW w:w="1225" w:type="dxa"/>
            <w:shd w:val="clear" w:color="auto" w:fill="D9D9D9"/>
            <w:vAlign w:val="center"/>
          </w:tcPr>
          <w:p w14:paraId="55C4BB79" w14:textId="77777777" w:rsidR="00376093" w:rsidRPr="0003029A" w:rsidRDefault="00C23215" w:rsidP="00376093">
            <w:pPr>
              <w:jc w:val="center"/>
            </w:pPr>
            <w:r>
              <w:rPr>
                <w:rFonts w:cs="Times New Roman"/>
                <w:sz w:val="16"/>
                <w:szCs w:val="16"/>
              </w:rPr>
              <w:t>2</w:t>
            </w:r>
          </w:p>
        </w:tc>
        <w:tc>
          <w:tcPr>
            <w:tcW w:w="780" w:type="dxa"/>
            <w:shd w:val="clear" w:color="auto" w:fill="D9D9D9"/>
          </w:tcPr>
          <w:p w14:paraId="77590551" w14:textId="77777777" w:rsidR="00376093" w:rsidRPr="0003029A" w:rsidRDefault="00376093" w:rsidP="00376093">
            <w:pPr>
              <w:snapToGrid w:val="0"/>
              <w:jc w:val="both"/>
              <w:rPr>
                <w:rFonts w:cs="Times New Roman"/>
                <w:sz w:val="16"/>
                <w:szCs w:val="16"/>
              </w:rPr>
            </w:pPr>
          </w:p>
        </w:tc>
        <w:tc>
          <w:tcPr>
            <w:tcW w:w="2212" w:type="dxa"/>
            <w:shd w:val="clear" w:color="auto" w:fill="D9D9D9"/>
          </w:tcPr>
          <w:p w14:paraId="2D2DF800" w14:textId="77777777" w:rsidR="00376093" w:rsidRPr="0003029A" w:rsidRDefault="00376093" w:rsidP="00376093">
            <w:pPr>
              <w:snapToGrid w:val="0"/>
              <w:jc w:val="both"/>
              <w:rPr>
                <w:rFonts w:cs="Times New Roman"/>
                <w:sz w:val="16"/>
                <w:szCs w:val="16"/>
              </w:rPr>
            </w:pPr>
          </w:p>
        </w:tc>
      </w:tr>
      <w:tr w:rsidR="00376093" w:rsidRPr="0003029A" w14:paraId="725D82EB" w14:textId="77777777" w:rsidTr="00376093">
        <w:trPr>
          <w:trHeight w:val="1283"/>
        </w:trPr>
        <w:tc>
          <w:tcPr>
            <w:tcW w:w="5367" w:type="dxa"/>
            <w:shd w:val="clear" w:color="auto" w:fill="D9D9D9"/>
            <w:vAlign w:val="center"/>
          </w:tcPr>
          <w:p w14:paraId="4804195D" w14:textId="77777777" w:rsidR="00376093" w:rsidRPr="007F30D3" w:rsidRDefault="00376093" w:rsidP="00376093">
            <w:pPr>
              <w:rPr>
                <w:rFonts w:cs="Calibri"/>
                <w:sz w:val="16"/>
                <w:szCs w:val="16"/>
              </w:rPr>
            </w:pPr>
            <w:r w:rsidRPr="00D67C43">
              <w:rPr>
                <w:rFonts w:cs="Calibri"/>
                <w:sz w:val="16"/>
                <w:szCs w:val="16"/>
              </w:rPr>
              <w:t xml:space="preserve">La soluzione proposta implementa nativamente il concetto di Zero Trust a livello di configurazione di base. Zero Trust è una iniziativa strategica il cui obiettivo è la prevenzione di data </w:t>
            </w:r>
            <w:proofErr w:type="spellStart"/>
            <w:r w:rsidRPr="00D67C43">
              <w:rPr>
                <w:rFonts w:cs="Calibri"/>
                <w:sz w:val="16"/>
                <w:szCs w:val="16"/>
              </w:rPr>
              <w:t>breach</w:t>
            </w:r>
            <w:proofErr w:type="spellEnd"/>
            <w:r w:rsidRPr="00D67C43">
              <w:rPr>
                <w:rFonts w:cs="Calibri"/>
                <w:sz w:val="16"/>
                <w:szCs w:val="16"/>
              </w:rPr>
              <w:t xml:space="preserve"> attraverso l’eliminazione del concetto di trust per l’architettura di rete interna. Si basa sul principio “</w:t>
            </w:r>
            <w:proofErr w:type="spellStart"/>
            <w:r w:rsidRPr="00D67C43">
              <w:rPr>
                <w:rFonts w:cs="Calibri"/>
                <w:sz w:val="16"/>
                <w:szCs w:val="16"/>
              </w:rPr>
              <w:t>never</w:t>
            </w:r>
            <w:proofErr w:type="spellEnd"/>
            <w:r w:rsidRPr="00D67C43">
              <w:rPr>
                <w:rFonts w:cs="Calibri"/>
                <w:sz w:val="16"/>
                <w:szCs w:val="16"/>
              </w:rPr>
              <w:t xml:space="preserve"> trust, </w:t>
            </w:r>
            <w:proofErr w:type="spellStart"/>
            <w:r w:rsidRPr="00D67C43">
              <w:rPr>
                <w:rFonts w:cs="Calibri"/>
                <w:sz w:val="16"/>
                <w:szCs w:val="16"/>
              </w:rPr>
              <w:t>always</w:t>
            </w:r>
            <w:proofErr w:type="spellEnd"/>
            <w:r w:rsidRPr="00D67C43">
              <w:rPr>
                <w:rFonts w:cs="Calibri"/>
                <w:sz w:val="16"/>
                <w:szCs w:val="16"/>
              </w:rPr>
              <w:t xml:space="preserve"> </w:t>
            </w:r>
            <w:proofErr w:type="spellStart"/>
            <w:r w:rsidRPr="00D67C43">
              <w:rPr>
                <w:rFonts w:cs="Calibri"/>
                <w:sz w:val="16"/>
                <w:szCs w:val="16"/>
              </w:rPr>
              <w:t>verify</w:t>
            </w:r>
            <w:proofErr w:type="spellEnd"/>
            <w:r w:rsidRPr="00D67C43">
              <w:rPr>
                <w:rFonts w:cs="Calibri"/>
                <w:sz w:val="16"/>
                <w:szCs w:val="16"/>
              </w:rPr>
              <w:t>,” a partire dalla configurazione di default</w:t>
            </w:r>
          </w:p>
        </w:tc>
        <w:tc>
          <w:tcPr>
            <w:tcW w:w="1225" w:type="dxa"/>
            <w:shd w:val="clear" w:color="auto" w:fill="D9D9D9"/>
            <w:vAlign w:val="center"/>
          </w:tcPr>
          <w:p w14:paraId="604DE3DE" w14:textId="77777777" w:rsidR="00376093" w:rsidRPr="00165E53" w:rsidRDefault="00C23215" w:rsidP="00376093">
            <w:pPr>
              <w:jc w:val="center"/>
              <w:rPr>
                <w:sz w:val="16"/>
                <w:szCs w:val="16"/>
              </w:rPr>
            </w:pPr>
            <w:r>
              <w:rPr>
                <w:sz w:val="16"/>
                <w:szCs w:val="16"/>
              </w:rPr>
              <w:t>4</w:t>
            </w:r>
          </w:p>
        </w:tc>
        <w:tc>
          <w:tcPr>
            <w:tcW w:w="780" w:type="dxa"/>
            <w:shd w:val="clear" w:color="auto" w:fill="D9D9D9"/>
            <w:vAlign w:val="center"/>
          </w:tcPr>
          <w:p w14:paraId="272BA8BF" w14:textId="77777777" w:rsidR="00376093" w:rsidRPr="00A40E41" w:rsidRDefault="00376093" w:rsidP="00376093">
            <w:pPr>
              <w:snapToGrid w:val="0"/>
              <w:jc w:val="center"/>
              <w:rPr>
                <w:rFonts w:cs="Times New Roman"/>
                <w:sz w:val="16"/>
                <w:szCs w:val="16"/>
              </w:rPr>
            </w:pPr>
          </w:p>
        </w:tc>
        <w:tc>
          <w:tcPr>
            <w:tcW w:w="2212" w:type="dxa"/>
            <w:shd w:val="clear" w:color="auto" w:fill="D9D9D9"/>
            <w:vAlign w:val="center"/>
          </w:tcPr>
          <w:p w14:paraId="50F56CD8" w14:textId="77777777" w:rsidR="00376093" w:rsidRPr="00A40E41" w:rsidRDefault="00376093" w:rsidP="00376093">
            <w:pPr>
              <w:snapToGrid w:val="0"/>
              <w:jc w:val="center"/>
              <w:rPr>
                <w:rFonts w:cs="Times New Roman"/>
                <w:sz w:val="16"/>
                <w:szCs w:val="16"/>
              </w:rPr>
            </w:pPr>
          </w:p>
        </w:tc>
      </w:tr>
      <w:tr w:rsidR="00C23215" w:rsidRPr="0003029A" w14:paraId="252DED1A" w14:textId="77777777" w:rsidTr="004F7ED5">
        <w:trPr>
          <w:trHeight w:val="241"/>
        </w:trPr>
        <w:tc>
          <w:tcPr>
            <w:tcW w:w="5367" w:type="dxa"/>
            <w:shd w:val="clear" w:color="auto" w:fill="D9D9D9"/>
            <w:vAlign w:val="center"/>
          </w:tcPr>
          <w:p w14:paraId="08745328" w14:textId="77777777" w:rsidR="00C23215" w:rsidRPr="007F30D3" w:rsidRDefault="00C23215" w:rsidP="004F7ED5">
            <w:pPr>
              <w:rPr>
                <w:rFonts w:cs="Calibri"/>
                <w:sz w:val="16"/>
                <w:szCs w:val="16"/>
              </w:rPr>
            </w:pPr>
            <w:r w:rsidRPr="00D67C43">
              <w:rPr>
                <w:rFonts w:cs="Calibri"/>
                <w:sz w:val="16"/>
                <w:szCs w:val="16"/>
              </w:rPr>
              <w:lastRenderedPageBreak/>
              <w:t xml:space="preserve">La soluzione proposta integra nativamente l'applicazione di best </w:t>
            </w:r>
            <w:proofErr w:type="spellStart"/>
            <w:r w:rsidRPr="00D67C43">
              <w:rPr>
                <w:rFonts w:cs="Calibri"/>
                <w:sz w:val="16"/>
                <w:szCs w:val="16"/>
              </w:rPr>
              <w:t>practice</w:t>
            </w:r>
            <w:proofErr w:type="spellEnd"/>
            <w:r w:rsidRPr="00D67C43">
              <w:rPr>
                <w:rFonts w:cs="Calibri"/>
                <w:sz w:val="16"/>
                <w:szCs w:val="16"/>
              </w:rPr>
              <w:t xml:space="preserve"> secondo </w:t>
            </w:r>
            <w:proofErr w:type="spellStart"/>
            <w:r w:rsidRPr="00D67C43">
              <w:rPr>
                <w:rFonts w:cs="Calibri"/>
                <w:sz w:val="16"/>
                <w:szCs w:val="16"/>
              </w:rPr>
              <w:t>IronSkillet</w:t>
            </w:r>
            <w:proofErr w:type="spellEnd"/>
            <w:r w:rsidRPr="00D67C43">
              <w:rPr>
                <w:rFonts w:cs="Calibri"/>
                <w:sz w:val="16"/>
                <w:szCs w:val="16"/>
              </w:rPr>
              <w:t xml:space="preserve"> (day one </w:t>
            </w:r>
            <w:proofErr w:type="spellStart"/>
            <w:r w:rsidRPr="00D67C43">
              <w:rPr>
                <w:rFonts w:cs="Calibri"/>
                <w:sz w:val="16"/>
                <w:szCs w:val="16"/>
              </w:rPr>
              <w:t>configuration</w:t>
            </w:r>
            <w:proofErr w:type="spellEnd"/>
            <w:r w:rsidRPr="00D67C43">
              <w:rPr>
                <w:rFonts w:cs="Calibri"/>
                <w:sz w:val="16"/>
                <w:szCs w:val="16"/>
              </w:rPr>
              <w:t xml:space="preserve"> template) e strumenti open-source disponibili nel repository </w:t>
            </w:r>
            <w:proofErr w:type="spellStart"/>
            <w:r w:rsidRPr="00D67C43">
              <w:rPr>
                <w:rFonts w:cs="Calibri"/>
                <w:sz w:val="16"/>
                <w:szCs w:val="16"/>
              </w:rPr>
              <w:t>Github</w:t>
            </w:r>
            <w:proofErr w:type="spellEnd"/>
            <w:r w:rsidRPr="00D67C43">
              <w:rPr>
                <w:rFonts w:cs="Calibri"/>
                <w:sz w:val="16"/>
                <w:szCs w:val="16"/>
              </w:rPr>
              <w:t xml:space="preserve"> del fornitore</w:t>
            </w:r>
          </w:p>
        </w:tc>
        <w:tc>
          <w:tcPr>
            <w:tcW w:w="1225" w:type="dxa"/>
            <w:shd w:val="clear" w:color="auto" w:fill="D9D9D9"/>
            <w:vAlign w:val="center"/>
          </w:tcPr>
          <w:p w14:paraId="71A6DAA7" w14:textId="77777777" w:rsidR="00C23215" w:rsidRPr="00DB5CFE" w:rsidRDefault="00C23215" w:rsidP="004F7ED5">
            <w:pPr>
              <w:jc w:val="center"/>
              <w:rPr>
                <w:rFonts w:cs="Times New Roman"/>
                <w:sz w:val="16"/>
                <w:szCs w:val="16"/>
              </w:rPr>
            </w:pPr>
            <w:r>
              <w:rPr>
                <w:rFonts w:cs="Times New Roman"/>
                <w:sz w:val="16"/>
                <w:szCs w:val="16"/>
              </w:rPr>
              <w:t>2</w:t>
            </w:r>
          </w:p>
        </w:tc>
        <w:tc>
          <w:tcPr>
            <w:tcW w:w="780" w:type="dxa"/>
            <w:shd w:val="clear" w:color="auto" w:fill="D9D9D9"/>
          </w:tcPr>
          <w:p w14:paraId="291F308E"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2C96830A" w14:textId="77777777" w:rsidR="00C23215" w:rsidRPr="0003029A" w:rsidRDefault="00C23215" w:rsidP="004F7ED5">
            <w:pPr>
              <w:snapToGrid w:val="0"/>
              <w:jc w:val="both"/>
              <w:rPr>
                <w:rFonts w:cs="Times New Roman"/>
                <w:sz w:val="16"/>
                <w:szCs w:val="16"/>
              </w:rPr>
            </w:pPr>
          </w:p>
        </w:tc>
      </w:tr>
      <w:tr w:rsidR="00C23215" w:rsidRPr="0003029A" w14:paraId="76C0AE3B" w14:textId="77777777" w:rsidTr="004F7ED5">
        <w:trPr>
          <w:trHeight w:val="241"/>
        </w:trPr>
        <w:tc>
          <w:tcPr>
            <w:tcW w:w="5367" w:type="dxa"/>
            <w:shd w:val="clear" w:color="auto" w:fill="D9D9D9"/>
            <w:vAlign w:val="center"/>
          </w:tcPr>
          <w:p w14:paraId="6DEDC972" w14:textId="77777777" w:rsidR="00C23215" w:rsidRPr="007F30D3" w:rsidRDefault="00C23215" w:rsidP="004F7ED5">
            <w:pPr>
              <w:rPr>
                <w:rFonts w:cs="Calibri"/>
                <w:sz w:val="16"/>
                <w:szCs w:val="16"/>
              </w:rPr>
            </w:pPr>
            <w:r w:rsidRPr="00D67C43">
              <w:rPr>
                <w:rFonts w:cs="Calibri"/>
                <w:sz w:val="16"/>
                <w:szCs w:val="16"/>
              </w:rPr>
              <w:t xml:space="preserve">La soluzione proposta si integra nativamente con strumenti di </w:t>
            </w:r>
            <w:proofErr w:type="spellStart"/>
            <w:r w:rsidRPr="00D67C43">
              <w:rPr>
                <w:rFonts w:cs="Calibri"/>
                <w:sz w:val="16"/>
                <w:szCs w:val="16"/>
              </w:rPr>
              <w:t>Threat</w:t>
            </w:r>
            <w:proofErr w:type="spellEnd"/>
            <w:r w:rsidRPr="00D67C43">
              <w:rPr>
                <w:rFonts w:cs="Calibri"/>
                <w:sz w:val="16"/>
                <w:szCs w:val="16"/>
              </w:rPr>
              <w:t xml:space="preserve"> Intelligence </w:t>
            </w:r>
            <w:proofErr w:type="spellStart"/>
            <w:r w:rsidRPr="00D67C43">
              <w:rPr>
                <w:rFonts w:cs="Calibri"/>
                <w:sz w:val="16"/>
                <w:szCs w:val="16"/>
              </w:rPr>
              <w:t>aggregation</w:t>
            </w:r>
            <w:proofErr w:type="spellEnd"/>
            <w:r w:rsidRPr="00D67C43">
              <w:rPr>
                <w:rFonts w:cs="Calibri"/>
                <w:sz w:val="16"/>
                <w:szCs w:val="16"/>
              </w:rPr>
              <w:t xml:space="preserve"> open-source per la creazione di </w:t>
            </w:r>
            <w:proofErr w:type="spellStart"/>
            <w:r w:rsidRPr="00D67C43">
              <w:rPr>
                <w:rFonts w:cs="Calibri"/>
                <w:sz w:val="16"/>
                <w:szCs w:val="16"/>
              </w:rPr>
              <w:t>External</w:t>
            </w:r>
            <w:proofErr w:type="spellEnd"/>
            <w:r w:rsidRPr="00D67C43">
              <w:rPr>
                <w:rFonts w:cs="Calibri"/>
                <w:sz w:val="16"/>
                <w:szCs w:val="16"/>
              </w:rPr>
              <w:t xml:space="preserve"> Dynamic List</w:t>
            </w:r>
          </w:p>
        </w:tc>
        <w:tc>
          <w:tcPr>
            <w:tcW w:w="1225" w:type="dxa"/>
            <w:shd w:val="clear" w:color="auto" w:fill="D9D9D9"/>
            <w:vAlign w:val="center"/>
          </w:tcPr>
          <w:p w14:paraId="565613CC" w14:textId="77777777" w:rsidR="00C23215" w:rsidRPr="00DB5CFE" w:rsidRDefault="00C23215" w:rsidP="004F7ED5">
            <w:pPr>
              <w:jc w:val="center"/>
              <w:rPr>
                <w:rFonts w:cs="Times New Roman"/>
                <w:sz w:val="16"/>
                <w:szCs w:val="16"/>
              </w:rPr>
            </w:pPr>
            <w:r>
              <w:rPr>
                <w:rFonts w:cs="Times New Roman"/>
                <w:sz w:val="16"/>
                <w:szCs w:val="16"/>
              </w:rPr>
              <w:t>5</w:t>
            </w:r>
          </w:p>
        </w:tc>
        <w:tc>
          <w:tcPr>
            <w:tcW w:w="780" w:type="dxa"/>
            <w:shd w:val="clear" w:color="auto" w:fill="D9D9D9"/>
          </w:tcPr>
          <w:p w14:paraId="3F425CD7"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6FF074E0" w14:textId="77777777" w:rsidR="00C23215" w:rsidRPr="0003029A" w:rsidRDefault="00C23215" w:rsidP="004F7ED5">
            <w:pPr>
              <w:snapToGrid w:val="0"/>
              <w:jc w:val="both"/>
              <w:rPr>
                <w:rFonts w:cs="Times New Roman"/>
                <w:sz w:val="16"/>
                <w:szCs w:val="16"/>
              </w:rPr>
            </w:pPr>
          </w:p>
        </w:tc>
      </w:tr>
      <w:tr w:rsidR="00C23215" w:rsidRPr="0003029A" w14:paraId="247C49D6" w14:textId="77777777" w:rsidTr="004F7ED5">
        <w:trPr>
          <w:trHeight w:val="241"/>
        </w:trPr>
        <w:tc>
          <w:tcPr>
            <w:tcW w:w="5367" w:type="dxa"/>
            <w:shd w:val="clear" w:color="auto" w:fill="D9D9D9"/>
            <w:vAlign w:val="center"/>
          </w:tcPr>
          <w:p w14:paraId="58E90D2F" w14:textId="77777777" w:rsidR="00C23215" w:rsidRPr="007F30D3" w:rsidRDefault="00C23215" w:rsidP="004F7ED5">
            <w:pPr>
              <w:rPr>
                <w:rFonts w:cs="Calibri"/>
                <w:sz w:val="16"/>
                <w:szCs w:val="16"/>
              </w:rPr>
            </w:pPr>
            <w:r w:rsidRPr="00D67C43">
              <w:rPr>
                <w:rFonts w:cs="Calibri"/>
                <w:sz w:val="16"/>
                <w:szCs w:val="16"/>
              </w:rPr>
              <w:t xml:space="preserve">La soluzione proposta si integra nativamente con strumenti di </w:t>
            </w:r>
            <w:proofErr w:type="spellStart"/>
            <w:r w:rsidRPr="00D67C43">
              <w:rPr>
                <w:rFonts w:cs="Calibri"/>
                <w:sz w:val="16"/>
                <w:szCs w:val="16"/>
              </w:rPr>
              <w:t>Threat</w:t>
            </w:r>
            <w:proofErr w:type="spellEnd"/>
            <w:r w:rsidRPr="00D67C43">
              <w:rPr>
                <w:rFonts w:cs="Calibri"/>
                <w:sz w:val="16"/>
                <w:szCs w:val="16"/>
              </w:rPr>
              <w:t xml:space="preserve"> Intelligence in Cloud </w:t>
            </w:r>
            <w:r>
              <w:rPr>
                <w:rFonts w:cs="Calibri"/>
                <w:sz w:val="16"/>
                <w:szCs w:val="16"/>
              </w:rPr>
              <w:t>qualificata</w:t>
            </w:r>
            <w:r w:rsidRPr="00D67C43">
              <w:rPr>
                <w:rFonts w:cs="Calibri"/>
                <w:sz w:val="16"/>
                <w:szCs w:val="16"/>
              </w:rPr>
              <w:t xml:space="preserve"> da </w:t>
            </w:r>
            <w:proofErr w:type="spellStart"/>
            <w:r w:rsidRPr="00D67C43">
              <w:rPr>
                <w:rFonts w:cs="Calibri"/>
                <w:sz w:val="16"/>
                <w:szCs w:val="16"/>
              </w:rPr>
              <w:t>Agid</w:t>
            </w:r>
            <w:proofErr w:type="spellEnd"/>
            <w:r w:rsidRPr="00D67C43">
              <w:rPr>
                <w:rFonts w:cs="Calibri"/>
                <w:sz w:val="16"/>
                <w:szCs w:val="16"/>
              </w:rPr>
              <w:t xml:space="preserve">, per la condivisione e la ricerca di indicatori di compromissione. Tale soluzione </w:t>
            </w:r>
            <w:r>
              <w:rPr>
                <w:rFonts w:cs="Calibri"/>
                <w:sz w:val="16"/>
                <w:szCs w:val="16"/>
              </w:rPr>
              <w:t xml:space="preserve">e la relativa licenza </w:t>
            </w:r>
            <w:r w:rsidRPr="00D67C43">
              <w:rPr>
                <w:rFonts w:cs="Calibri"/>
                <w:sz w:val="16"/>
                <w:szCs w:val="16"/>
              </w:rPr>
              <w:t>d</w:t>
            </w:r>
            <w:r>
              <w:rPr>
                <w:rFonts w:cs="Calibri"/>
                <w:sz w:val="16"/>
                <w:szCs w:val="16"/>
              </w:rPr>
              <w:t>ovrà</w:t>
            </w:r>
            <w:r w:rsidRPr="00D67C43">
              <w:rPr>
                <w:rFonts w:cs="Calibri"/>
                <w:sz w:val="16"/>
                <w:szCs w:val="16"/>
              </w:rPr>
              <w:t xml:space="preserve"> essere offerta e funzionante per </w:t>
            </w:r>
            <w:r>
              <w:rPr>
                <w:rFonts w:cs="Calibri"/>
                <w:sz w:val="16"/>
                <w:szCs w:val="16"/>
              </w:rPr>
              <w:t>minimo 24 mesi (</w:t>
            </w:r>
            <w:r w:rsidRPr="00D67C43">
              <w:rPr>
                <w:rFonts w:cs="Calibri"/>
                <w:sz w:val="16"/>
                <w:szCs w:val="16"/>
              </w:rPr>
              <w:t xml:space="preserve">36 </w:t>
            </w:r>
            <w:r>
              <w:rPr>
                <w:rFonts w:cs="Calibri"/>
                <w:sz w:val="16"/>
                <w:szCs w:val="16"/>
              </w:rPr>
              <w:t xml:space="preserve">in caso di estensione della garanzia), a partire </w:t>
            </w:r>
            <w:r w:rsidRPr="00D67C43">
              <w:rPr>
                <w:rFonts w:cs="Calibri"/>
                <w:sz w:val="16"/>
                <w:szCs w:val="16"/>
              </w:rPr>
              <w:t>dalla data di esito positivo del collaudo</w:t>
            </w:r>
          </w:p>
        </w:tc>
        <w:tc>
          <w:tcPr>
            <w:tcW w:w="1225" w:type="dxa"/>
            <w:shd w:val="clear" w:color="auto" w:fill="D9D9D9"/>
            <w:vAlign w:val="center"/>
          </w:tcPr>
          <w:p w14:paraId="7FABB8BC" w14:textId="77777777" w:rsidR="00C23215" w:rsidRPr="00DB5CFE" w:rsidRDefault="00C23215" w:rsidP="004F7ED5">
            <w:pPr>
              <w:jc w:val="center"/>
              <w:rPr>
                <w:rFonts w:cs="Times New Roman"/>
                <w:sz w:val="16"/>
                <w:szCs w:val="16"/>
              </w:rPr>
            </w:pPr>
            <w:r>
              <w:rPr>
                <w:rFonts w:cs="Times New Roman"/>
                <w:sz w:val="16"/>
                <w:szCs w:val="16"/>
              </w:rPr>
              <w:t>6</w:t>
            </w:r>
          </w:p>
        </w:tc>
        <w:tc>
          <w:tcPr>
            <w:tcW w:w="780" w:type="dxa"/>
            <w:shd w:val="clear" w:color="auto" w:fill="D9D9D9"/>
          </w:tcPr>
          <w:p w14:paraId="79DAFD61"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61376075" w14:textId="77777777" w:rsidR="00C23215" w:rsidRPr="0003029A" w:rsidRDefault="00C23215" w:rsidP="004F7ED5">
            <w:pPr>
              <w:snapToGrid w:val="0"/>
              <w:jc w:val="both"/>
              <w:rPr>
                <w:rFonts w:cs="Times New Roman"/>
                <w:sz w:val="16"/>
                <w:szCs w:val="16"/>
              </w:rPr>
            </w:pPr>
          </w:p>
        </w:tc>
      </w:tr>
      <w:tr w:rsidR="00C23215" w:rsidRPr="0003029A" w14:paraId="1CE0231F" w14:textId="77777777" w:rsidTr="004F7ED5">
        <w:trPr>
          <w:trHeight w:val="241"/>
        </w:trPr>
        <w:tc>
          <w:tcPr>
            <w:tcW w:w="5367" w:type="dxa"/>
            <w:shd w:val="clear" w:color="auto" w:fill="D9D9D9"/>
            <w:vAlign w:val="center"/>
          </w:tcPr>
          <w:p w14:paraId="4F296EB5" w14:textId="77777777" w:rsidR="00C23215" w:rsidRPr="007F30D3" w:rsidRDefault="00C23215" w:rsidP="004F7ED5">
            <w:pPr>
              <w:rPr>
                <w:rFonts w:cs="Calibri"/>
                <w:sz w:val="16"/>
                <w:szCs w:val="16"/>
              </w:rPr>
            </w:pPr>
            <w:r w:rsidRPr="00D67C43">
              <w:rPr>
                <w:rFonts w:cs="Calibri"/>
                <w:sz w:val="16"/>
                <w:szCs w:val="16"/>
              </w:rPr>
              <w:t xml:space="preserve">La soluzione proposta si integra nativamente con strumenti di Malware Analysis in Cloud </w:t>
            </w:r>
            <w:r>
              <w:rPr>
                <w:rFonts w:cs="Calibri"/>
                <w:sz w:val="16"/>
                <w:szCs w:val="16"/>
              </w:rPr>
              <w:t>qualificati</w:t>
            </w:r>
            <w:r w:rsidRPr="00D67C43">
              <w:rPr>
                <w:rFonts w:cs="Calibri"/>
                <w:sz w:val="16"/>
                <w:szCs w:val="16"/>
              </w:rPr>
              <w:t xml:space="preserve"> da </w:t>
            </w:r>
            <w:proofErr w:type="spellStart"/>
            <w:r w:rsidRPr="00D67C43">
              <w:rPr>
                <w:rFonts w:cs="Calibri"/>
                <w:sz w:val="16"/>
                <w:szCs w:val="16"/>
              </w:rPr>
              <w:t>Agid</w:t>
            </w:r>
            <w:proofErr w:type="spellEnd"/>
          </w:p>
        </w:tc>
        <w:tc>
          <w:tcPr>
            <w:tcW w:w="1225" w:type="dxa"/>
            <w:shd w:val="clear" w:color="auto" w:fill="D9D9D9"/>
            <w:vAlign w:val="center"/>
          </w:tcPr>
          <w:p w14:paraId="0388F90A" w14:textId="77777777" w:rsidR="00C23215" w:rsidRPr="00DB5CFE" w:rsidRDefault="00C23215" w:rsidP="004F7ED5">
            <w:pPr>
              <w:jc w:val="center"/>
              <w:rPr>
                <w:rFonts w:cs="Times New Roman"/>
                <w:sz w:val="16"/>
                <w:szCs w:val="16"/>
              </w:rPr>
            </w:pPr>
            <w:r>
              <w:rPr>
                <w:rFonts w:cs="Times New Roman"/>
                <w:sz w:val="16"/>
                <w:szCs w:val="16"/>
              </w:rPr>
              <w:t>4</w:t>
            </w:r>
          </w:p>
        </w:tc>
        <w:tc>
          <w:tcPr>
            <w:tcW w:w="780" w:type="dxa"/>
            <w:shd w:val="clear" w:color="auto" w:fill="D9D9D9"/>
          </w:tcPr>
          <w:p w14:paraId="38C69B99"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364C0171" w14:textId="77777777" w:rsidR="00C23215" w:rsidRPr="0003029A" w:rsidRDefault="00C23215" w:rsidP="004F7ED5">
            <w:pPr>
              <w:snapToGrid w:val="0"/>
              <w:jc w:val="both"/>
              <w:rPr>
                <w:rFonts w:cs="Times New Roman"/>
                <w:sz w:val="16"/>
                <w:szCs w:val="16"/>
              </w:rPr>
            </w:pPr>
          </w:p>
        </w:tc>
      </w:tr>
      <w:tr w:rsidR="00C23215" w:rsidRPr="0003029A" w14:paraId="62E2CDB1" w14:textId="77777777" w:rsidTr="004F7ED5">
        <w:trPr>
          <w:trHeight w:val="241"/>
        </w:trPr>
        <w:tc>
          <w:tcPr>
            <w:tcW w:w="5367" w:type="dxa"/>
            <w:shd w:val="clear" w:color="auto" w:fill="D9D9D9"/>
            <w:vAlign w:val="center"/>
          </w:tcPr>
          <w:p w14:paraId="5DB01249" w14:textId="77777777" w:rsidR="00C23215" w:rsidRPr="007F30D3" w:rsidRDefault="00C23215" w:rsidP="004F7ED5">
            <w:pPr>
              <w:rPr>
                <w:rFonts w:cs="Calibri"/>
                <w:sz w:val="16"/>
                <w:szCs w:val="16"/>
              </w:rPr>
            </w:pPr>
            <w:r w:rsidRPr="00FA21AC">
              <w:rPr>
                <w:rFonts w:cs="Calibri"/>
                <w:sz w:val="16"/>
                <w:szCs w:val="16"/>
              </w:rPr>
              <w:t>La soluzione proposta ha nativamente la disponibilità di Open API per la gestione e la personalizzazione della configurazione</w:t>
            </w:r>
          </w:p>
        </w:tc>
        <w:tc>
          <w:tcPr>
            <w:tcW w:w="1225" w:type="dxa"/>
            <w:shd w:val="clear" w:color="auto" w:fill="D9D9D9"/>
            <w:vAlign w:val="center"/>
          </w:tcPr>
          <w:p w14:paraId="46BA52EF" w14:textId="77777777" w:rsidR="00C23215" w:rsidRPr="00DB5CFE" w:rsidRDefault="00C23215" w:rsidP="004F7ED5">
            <w:pPr>
              <w:jc w:val="center"/>
              <w:rPr>
                <w:rFonts w:cs="Times New Roman"/>
                <w:sz w:val="16"/>
                <w:szCs w:val="16"/>
              </w:rPr>
            </w:pPr>
            <w:r>
              <w:rPr>
                <w:rFonts w:cs="Times New Roman"/>
                <w:sz w:val="16"/>
                <w:szCs w:val="16"/>
              </w:rPr>
              <w:t>2</w:t>
            </w:r>
          </w:p>
        </w:tc>
        <w:tc>
          <w:tcPr>
            <w:tcW w:w="780" w:type="dxa"/>
            <w:shd w:val="clear" w:color="auto" w:fill="D9D9D9"/>
          </w:tcPr>
          <w:p w14:paraId="750C818C"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7BD2D92F" w14:textId="77777777" w:rsidR="00C23215" w:rsidRPr="0003029A" w:rsidRDefault="00C23215" w:rsidP="004F7ED5">
            <w:pPr>
              <w:snapToGrid w:val="0"/>
              <w:jc w:val="both"/>
              <w:rPr>
                <w:rFonts w:cs="Times New Roman"/>
                <w:sz w:val="16"/>
                <w:szCs w:val="16"/>
              </w:rPr>
            </w:pPr>
          </w:p>
        </w:tc>
      </w:tr>
      <w:tr w:rsidR="00C23215" w:rsidRPr="0003029A" w14:paraId="60EBC14E" w14:textId="77777777" w:rsidTr="004F7ED5">
        <w:trPr>
          <w:trHeight w:val="241"/>
        </w:trPr>
        <w:tc>
          <w:tcPr>
            <w:tcW w:w="5367" w:type="dxa"/>
            <w:shd w:val="clear" w:color="auto" w:fill="D9D9D9"/>
            <w:vAlign w:val="center"/>
          </w:tcPr>
          <w:p w14:paraId="31F9F59D" w14:textId="77777777" w:rsidR="00C23215" w:rsidRPr="007F30D3" w:rsidRDefault="00C23215" w:rsidP="004F7ED5">
            <w:pPr>
              <w:rPr>
                <w:rFonts w:cs="Calibri"/>
                <w:sz w:val="16"/>
                <w:szCs w:val="16"/>
              </w:rPr>
            </w:pPr>
            <w:r w:rsidRPr="00FA21AC">
              <w:rPr>
                <w:rFonts w:cs="Calibri"/>
                <w:sz w:val="16"/>
                <w:szCs w:val="16"/>
              </w:rPr>
              <w:t>La soluzione proposta si integra nativamente con ambienti di virtualizzazione VMware NSX</w:t>
            </w:r>
          </w:p>
        </w:tc>
        <w:tc>
          <w:tcPr>
            <w:tcW w:w="1225" w:type="dxa"/>
            <w:shd w:val="clear" w:color="auto" w:fill="D9D9D9"/>
            <w:vAlign w:val="center"/>
          </w:tcPr>
          <w:p w14:paraId="5D505A9B" w14:textId="77777777" w:rsidR="00C23215" w:rsidRPr="00DB5CFE" w:rsidRDefault="00C23215" w:rsidP="004F7ED5">
            <w:pPr>
              <w:jc w:val="center"/>
              <w:rPr>
                <w:rFonts w:cs="Times New Roman"/>
                <w:sz w:val="16"/>
                <w:szCs w:val="16"/>
              </w:rPr>
            </w:pPr>
            <w:r>
              <w:rPr>
                <w:rFonts w:cs="Times New Roman"/>
                <w:sz w:val="16"/>
                <w:szCs w:val="16"/>
              </w:rPr>
              <w:t>1</w:t>
            </w:r>
          </w:p>
        </w:tc>
        <w:tc>
          <w:tcPr>
            <w:tcW w:w="780" w:type="dxa"/>
            <w:shd w:val="clear" w:color="auto" w:fill="D9D9D9"/>
          </w:tcPr>
          <w:p w14:paraId="6EB0CC97"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0FA5A65C" w14:textId="77777777" w:rsidR="00C23215" w:rsidRPr="0003029A" w:rsidRDefault="00C23215" w:rsidP="004F7ED5">
            <w:pPr>
              <w:snapToGrid w:val="0"/>
              <w:jc w:val="both"/>
              <w:rPr>
                <w:rFonts w:cs="Times New Roman"/>
                <w:sz w:val="16"/>
                <w:szCs w:val="16"/>
              </w:rPr>
            </w:pPr>
          </w:p>
        </w:tc>
      </w:tr>
      <w:tr w:rsidR="00C23215" w:rsidRPr="0003029A" w14:paraId="5BDA3FE9" w14:textId="77777777" w:rsidTr="004F7ED5">
        <w:trPr>
          <w:trHeight w:val="241"/>
        </w:trPr>
        <w:tc>
          <w:tcPr>
            <w:tcW w:w="5367" w:type="dxa"/>
            <w:shd w:val="clear" w:color="auto" w:fill="D9D9D9"/>
            <w:vAlign w:val="center"/>
          </w:tcPr>
          <w:p w14:paraId="4F63BBC8" w14:textId="77777777" w:rsidR="00C23215" w:rsidRPr="007F30D3" w:rsidRDefault="00C23215" w:rsidP="004F7ED5">
            <w:pPr>
              <w:rPr>
                <w:rFonts w:cs="Calibri"/>
                <w:sz w:val="16"/>
                <w:szCs w:val="16"/>
              </w:rPr>
            </w:pPr>
            <w:r w:rsidRPr="00FA21AC">
              <w:rPr>
                <w:rFonts w:cs="Calibri"/>
                <w:sz w:val="16"/>
                <w:szCs w:val="16"/>
              </w:rPr>
              <w:t>Console di management centralizzato dei firewall che non richieda utilizzo l'istallazione/esecuzione di client e compatibile con il protocollo HTML5</w:t>
            </w:r>
          </w:p>
        </w:tc>
        <w:tc>
          <w:tcPr>
            <w:tcW w:w="1225" w:type="dxa"/>
            <w:shd w:val="clear" w:color="auto" w:fill="D9D9D9"/>
            <w:vAlign w:val="center"/>
          </w:tcPr>
          <w:p w14:paraId="4027B775" w14:textId="77777777" w:rsidR="00C23215" w:rsidRPr="00DB5CFE" w:rsidRDefault="00C23215" w:rsidP="004F7ED5">
            <w:pPr>
              <w:jc w:val="center"/>
              <w:rPr>
                <w:rFonts w:cs="Times New Roman"/>
                <w:sz w:val="16"/>
                <w:szCs w:val="16"/>
              </w:rPr>
            </w:pPr>
            <w:r>
              <w:rPr>
                <w:rFonts w:cs="Times New Roman"/>
                <w:sz w:val="16"/>
                <w:szCs w:val="16"/>
              </w:rPr>
              <w:t>1</w:t>
            </w:r>
          </w:p>
        </w:tc>
        <w:tc>
          <w:tcPr>
            <w:tcW w:w="780" w:type="dxa"/>
            <w:shd w:val="clear" w:color="auto" w:fill="D9D9D9"/>
          </w:tcPr>
          <w:p w14:paraId="4EB5C823"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2ECBCF3E" w14:textId="77777777" w:rsidR="00C23215" w:rsidRPr="0003029A" w:rsidRDefault="00C23215" w:rsidP="004F7ED5">
            <w:pPr>
              <w:snapToGrid w:val="0"/>
              <w:jc w:val="both"/>
              <w:rPr>
                <w:rFonts w:cs="Times New Roman"/>
                <w:sz w:val="16"/>
                <w:szCs w:val="16"/>
              </w:rPr>
            </w:pPr>
          </w:p>
        </w:tc>
      </w:tr>
      <w:tr w:rsidR="00C23215" w:rsidRPr="0003029A" w14:paraId="37D55463" w14:textId="77777777" w:rsidTr="004F7ED5">
        <w:trPr>
          <w:trHeight w:val="241"/>
        </w:trPr>
        <w:tc>
          <w:tcPr>
            <w:tcW w:w="5367" w:type="dxa"/>
            <w:shd w:val="clear" w:color="auto" w:fill="D9D9D9"/>
            <w:vAlign w:val="center"/>
          </w:tcPr>
          <w:p w14:paraId="5ED2A4EF" w14:textId="77777777" w:rsidR="00C23215" w:rsidRPr="007F30D3" w:rsidRDefault="00C23215" w:rsidP="004F7ED5">
            <w:pPr>
              <w:rPr>
                <w:rFonts w:cs="Calibri"/>
                <w:sz w:val="16"/>
                <w:szCs w:val="16"/>
              </w:rPr>
            </w:pPr>
            <w:r w:rsidRPr="00FA21AC">
              <w:rPr>
                <w:rFonts w:cs="Calibri"/>
                <w:sz w:val="16"/>
                <w:szCs w:val="16"/>
              </w:rPr>
              <w:t>La soluzione proposta permette di esportare la configurazione dei firewall in funzione presso il CNR-IMAA (</w:t>
            </w:r>
            <w:proofErr w:type="spellStart"/>
            <w:r w:rsidRPr="00FA21AC">
              <w:rPr>
                <w:rFonts w:cs="Calibri"/>
                <w:sz w:val="16"/>
                <w:szCs w:val="16"/>
              </w:rPr>
              <w:t>Paloalto</w:t>
            </w:r>
            <w:proofErr w:type="spellEnd"/>
            <w:r w:rsidRPr="00FA21AC">
              <w:rPr>
                <w:rFonts w:cs="Calibri"/>
                <w:sz w:val="16"/>
                <w:szCs w:val="16"/>
              </w:rPr>
              <w:t xml:space="preserve"> </w:t>
            </w:r>
            <w:proofErr w:type="spellStart"/>
            <w:r w:rsidRPr="00FA21AC">
              <w:rPr>
                <w:rFonts w:cs="Calibri"/>
                <w:sz w:val="16"/>
                <w:szCs w:val="16"/>
              </w:rPr>
              <w:t>Newtorks</w:t>
            </w:r>
            <w:proofErr w:type="spellEnd"/>
            <w:r w:rsidRPr="00FA21AC">
              <w:rPr>
                <w:rFonts w:cs="Calibri"/>
                <w:sz w:val="16"/>
                <w:szCs w:val="16"/>
              </w:rPr>
              <w:t xml:space="preserve"> PA-3020) ed importarle direttamen</w:t>
            </w:r>
            <w:r>
              <w:rPr>
                <w:rFonts w:cs="Calibri"/>
                <w:sz w:val="16"/>
                <w:szCs w:val="16"/>
              </w:rPr>
              <w:t>t</w:t>
            </w:r>
            <w:r w:rsidRPr="00FA21AC">
              <w:rPr>
                <w:rFonts w:cs="Calibri"/>
                <w:sz w:val="16"/>
                <w:szCs w:val="16"/>
              </w:rPr>
              <w:t>e senza la necessità di modifiche e/o interventi manuali, sui nuovi firewall forniti (esclus</w:t>
            </w:r>
            <w:r>
              <w:rPr>
                <w:rFonts w:cs="Calibri"/>
                <w:sz w:val="16"/>
                <w:szCs w:val="16"/>
              </w:rPr>
              <w:t>e</w:t>
            </w:r>
            <w:r w:rsidRPr="00FA21AC">
              <w:rPr>
                <w:rFonts w:cs="Calibri"/>
                <w:sz w:val="16"/>
                <w:szCs w:val="16"/>
              </w:rPr>
              <w:t xml:space="preserve"> le configurazion</w:t>
            </w:r>
            <w:r>
              <w:rPr>
                <w:rFonts w:cs="Calibri"/>
                <w:sz w:val="16"/>
                <w:szCs w:val="16"/>
              </w:rPr>
              <w:t>i</w:t>
            </w:r>
            <w:r w:rsidRPr="00FA21AC">
              <w:rPr>
                <w:rFonts w:cs="Calibri"/>
                <w:sz w:val="16"/>
                <w:szCs w:val="16"/>
              </w:rPr>
              <w:t xml:space="preserve"> necessarie per l'H.A.). Tale funzionalità dovrà essere possibile sia tramite le interfacce di management integrate negli apparati, sia tramite la piattaforma di gestione centralizzata. L'operazione dovrà essere reversibile anche dalla nuova alla precedente soluzione, in caso di fault dei nuovi sistemi</w:t>
            </w:r>
          </w:p>
        </w:tc>
        <w:tc>
          <w:tcPr>
            <w:tcW w:w="1225" w:type="dxa"/>
            <w:shd w:val="clear" w:color="auto" w:fill="D9D9D9"/>
            <w:vAlign w:val="center"/>
          </w:tcPr>
          <w:p w14:paraId="520E561D" w14:textId="77777777" w:rsidR="00C23215" w:rsidRPr="00DB5CFE" w:rsidRDefault="00C23215" w:rsidP="004F7ED5">
            <w:pPr>
              <w:jc w:val="center"/>
              <w:rPr>
                <w:rFonts w:cs="Times New Roman"/>
                <w:sz w:val="16"/>
                <w:szCs w:val="16"/>
              </w:rPr>
            </w:pPr>
            <w:r>
              <w:rPr>
                <w:rFonts w:cs="Times New Roman"/>
                <w:sz w:val="16"/>
                <w:szCs w:val="16"/>
              </w:rPr>
              <w:t>15</w:t>
            </w:r>
          </w:p>
        </w:tc>
        <w:tc>
          <w:tcPr>
            <w:tcW w:w="780" w:type="dxa"/>
            <w:shd w:val="clear" w:color="auto" w:fill="D9D9D9"/>
          </w:tcPr>
          <w:p w14:paraId="0B0A88F4"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2E34BA21" w14:textId="77777777" w:rsidR="00C23215" w:rsidRPr="0003029A" w:rsidRDefault="00C23215" w:rsidP="004F7ED5">
            <w:pPr>
              <w:snapToGrid w:val="0"/>
              <w:jc w:val="both"/>
              <w:rPr>
                <w:rFonts w:cs="Times New Roman"/>
                <w:sz w:val="16"/>
                <w:szCs w:val="16"/>
              </w:rPr>
            </w:pPr>
          </w:p>
        </w:tc>
      </w:tr>
      <w:tr w:rsidR="00C23215" w:rsidRPr="0003029A" w14:paraId="368E940F" w14:textId="77777777" w:rsidTr="004F7ED5">
        <w:trPr>
          <w:trHeight w:val="241"/>
        </w:trPr>
        <w:tc>
          <w:tcPr>
            <w:tcW w:w="5367" w:type="dxa"/>
            <w:shd w:val="clear" w:color="auto" w:fill="D9D9D9"/>
            <w:vAlign w:val="center"/>
          </w:tcPr>
          <w:p w14:paraId="0E132FFC" w14:textId="77777777" w:rsidR="00C23215" w:rsidRPr="007F30D3" w:rsidRDefault="00C23215" w:rsidP="004F7ED5">
            <w:pPr>
              <w:rPr>
                <w:rFonts w:cs="Calibri"/>
                <w:sz w:val="16"/>
                <w:szCs w:val="16"/>
              </w:rPr>
            </w:pPr>
            <w:r w:rsidRPr="00FA21AC">
              <w:rPr>
                <w:rFonts w:cs="Calibri"/>
                <w:sz w:val="16"/>
                <w:szCs w:val="16"/>
              </w:rPr>
              <w:t>La Console di management centralizzato è in gradi di gestire completamente (es. aggiornamento OS, modifiche complete alla configurazione, backup configurazioni) i firewall in funzione presso il CNR-IMAA (</w:t>
            </w:r>
            <w:proofErr w:type="spellStart"/>
            <w:r w:rsidRPr="00FA21AC">
              <w:rPr>
                <w:rFonts w:cs="Calibri"/>
                <w:sz w:val="16"/>
                <w:szCs w:val="16"/>
              </w:rPr>
              <w:t>Paloalto</w:t>
            </w:r>
            <w:proofErr w:type="spellEnd"/>
            <w:r w:rsidRPr="00FA21AC">
              <w:rPr>
                <w:rFonts w:cs="Calibri"/>
                <w:sz w:val="16"/>
                <w:szCs w:val="16"/>
              </w:rPr>
              <w:t xml:space="preserve"> </w:t>
            </w:r>
            <w:proofErr w:type="spellStart"/>
            <w:r w:rsidRPr="00FA21AC">
              <w:rPr>
                <w:rFonts w:cs="Calibri"/>
                <w:sz w:val="16"/>
                <w:szCs w:val="16"/>
              </w:rPr>
              <w:t>Newtorks</w:t>
            </w:r>
            <w:proofErr w:type="spellEnd"/>
            <w:r w:rsidRPr="00FA21AC">
              <w:rPr>
                <w:rFonts w:cs="Calibri"/>
                <w:sz w:val="16"/>
                <w:szCs w:val="16"/>
              </w:rPr>
              <w:t xml:space="preserve"> PA-3020 e PA-200)</w:t>
            </w:r>
          </w:p>
        </w:tc>
        <w:tc>
          <w:tcPr>
            <w:tcW w:w="1225" w:type="dxa"/>
            <w:shd w:val="clear" w:color="auto" w:fill="D9D9D9"/>
            <w:vAlign w:val="center"/>
          </w:tcPr>
          <w:p w14:paraId="11249E1B" w14:textId="77777777" w:rsidR="00C23215" w:rsidRPr="00DB5CFE" w:rsidRDefault="00C23215" w:rsidP="004F7ED5">
            <w:pPr>
              <w:jc w:val="center"/>
              <w:rPr>
                <w:rFonts w:cs="Times New Roman"/>
                <w:sz w:val="16"/>
                <w:szCs w:val="16"/>
              </w:rPr>
            </w:pPr>
            <w:r>
              <w:rPr>
                <w:rFonts w:cs="Times New Roman"/>
                <w:sz w:val="16"/>
                <w:szCs w:val="16"/>
              </w:rPr>
              <w:t>6</w:t>
            </w:r>
          </w:p>
        </w:tc>
        <w:tc>
          <w:tcPr>
            <w:tcW w:w="780" w:type="dxa"/>
            <w:shd w:val="clear" w:color="auto" w:fill="D9D9D9"/>
          </w:tcPr>
          <w:p w14:paraId="44D23731" w14:textId="77777777" w:rsidR="00C23215" w:rsidRPr="0003029A" w:rsidRDefault="00C23215" w:rsidP="004F7ED5">
            <w:pPr>
              <w:snapToGrid w:val="0"/>
              <w:jc w:val="both"/>
              <w:rPr>
                <w:rFonts w:cs="Times New Roman"/>
                <w:sz w:val="16"/>
                <w:szCs w:val="16"/>
              </w:rPr>
            </w:pPr>
          </w:p>
        </w:tc>
        <w:tc>
          <w:tcPr>
            <w:tcW w:w="2212" w:type="dxa"/>
            <w:shd w:val="clear" w:color="auto" w:fill="D9D9D9"/>
          </w:tcPr>
          <w:p w14:paraId="4F9C3448" w14:textId="77777777" w:rsidR="00C23215" w:rsidRPr="0003029A" w:rsidRDefault="00C23215" w:rsidP="004F7ED5">
            <w:pPr>
              <w:snapToGrid w:val="0"/>
              <w:jc w:val="both"/>
              <w:rPr>
                <w:rFonts w:cs="Times New Roman"/>
                <w:sz w:val="16"/>
                <w:szCs w:val="16"/>
              </w:rPr>
            </w:pPr>
          </w:p>
        </w:tc>
      </w:tr>
      <w:tr w:rsidR="00C23215" w:rsidRPr="0003029A" w14:paraId="41D13404" w14:textId="77777777" w:rsidTr="00376093">
        <w:trPr>
          <w:trHeight w:val="241"/>
        </w:trPr>
        <w:tc>
          <w:tcPr>
            <w:tcW w:w="5367" w:type="dxa"/>
            <w:shd w:val="clear" w:color="auto" w:fill="D9D9D9"/>
            <w:vAlign w:val="center"/>
          </w:tcPr>
          <w:p w14:paraId="16D2DE7D" w14:textId="77777777" w:rsidR="00C23215" w:rsidRPr="007F30D3" w:rsidRDefault="00C23215" w:rsidP="00C23215">
            <w:pPr>
              <w:rPr>
                <w:rFonts w:cs="Calibri"/>
                <w:sz w:val="16"/>
                <w:szCs w:val="16"/>
              </w:rPr>
            </w:pPr>
            <w:r w:rsidRPr="007F30D3">
              <w:rPr>
                <w:rFonts w:cs="Calibri"/>
                <w:sz w:val="16"/>
                <w:szCs w:val="16"/>
              </w:rPr>
              <w:t>Estensione della garanzia</w:t>
            </w:r>
            <w:r>
              <w:rPr>
                <w:rFonts w:cs="Calibri"/>
                <w:sz w:val="16"/>
                <w:szCs w:val="16"/>
              </w:rPr>
              <w:t xml:space="preserve"> di ulteriori 12 mesi (36 mesi in totale),</w:t>
            </w:r>
            <w:r w:rsidRPr="007F30D3">
              <w:rPr>
                <w:rFonts w:cs="Calibri"/>
                <w:sz w:val="16"/>
                <w:szCs w:val="16"/>
              </w:rPr>
              <w:t xml:space="preserve"> comprensiva dell’assistenza tecnica e manutenzione sia per le componenti hardware che software, rispetto al minimo richiesto nel capitolato tecnico (</w:t>
            </w:r>
            <w:r>
              <w:rPr>
                <w:rFonts w:cs="Calibri"/>
                <w:sz w:val="16"/>
                <w:szCs w:val="16"/>
              </w:rPr>
              <w:t>24</w:t>
            </w:r>
            <w:r w:rsidRPr="007F30D3">
              <w:rPr>
                <w:rFonts w:cs="Calibri"/>
                <w:sz w:val="16"/>
                <w:szCs w:val="16"/>
              </w:rPr>
              <w:t xml:space="preserve"> mesi)</w:t>
            </w:r>
            <w:r>
              <w:rPr>
                <w:rFonts w:cs="Calibri"/>
                <w:sz w:val="16"/>
                <w:szCs w:val="16"/>
              </w:rPr>
              <w:t>.</w:t>
            </w:r>
            <w:r w:rsidRPr="007F30D3">
              <w:rPr>
                <w:rFonts w:cs="Calibri"/>
                <w:sz w:val="16"/>
                <w:szCs w:val="16"/>
              </w:rPr>
              <w:t xml:space="preserve"> L’estensione dell’assistenza tecnica e manutenzione dovrà essere erogata direttamente dal costruttore/produttore della soluzione offerta e verificabile in sede di collaudo, ad eccezione dei componenti per i quali non è richiesto il vincolo di unicità del produttore</w:t>
            </w:r>
          </w:p>
        </w:tc>
        <w:tc>
          <w:tcPr>
            <w:tcW w:w="1225" w:type="dxa"/>
            <w:shd w:val="clear" w:color="auto" w:fill="D9D9D9"/>
            <w:vAlign w:val="center"/>
          </w:tcPr>
          <w:p w14:paraId="32AE2F7D" w14:textId="77777777" w:rsidR="00C23215" w:rsidRPr="00DB5CFE" w:rsidRDefault="00C23215" w:rsidP="00C23215">
            <w:pPr>
              <w:jc w:val="center"/>
              <w:rPr>
                <w:rFonts w:cs="Times New Roman"/>
                <w:sz w:val="16"/>
                <w:szCs w:val="16"/>
              </w:rPr>
            </w:pPr>
            <w:r>
              <w:rPr>
                <w:rFonts w:cs="Times New Roman"/>
                <w:sz w:val="16"/>
                <w:szCs w:val="16"/>
              </w:rPr>
              <w:t>4</w:t>
            </w:r>
          </w:p>
        </w:tc>
        <w:tc>
          <w:tcPr>
            <w:tcW w:w="780" w:type="dxa"/>
            <w:shd w:val="clear" w:color="auto" w:fill="D9D9D9"/>
          </w:tcPr>
          <w:p w14:paraId="5F608C39" w14:textId="77777777" w:rsidR="00C23215" w:rsidRPr="0003029A" w:rsidRDefault="00C23215" w:rsidP="00C23215">
            <w:pPr>
              <w:snapToGrid w:val="0"/>
              <w:jc w:val="both"/>
              <w:rPr>
                <w:rFonts w:cs="Times New Roman"/>
                <w:sz w:val="16"/>
                <w:szCs w:val="16"/>
              </w:rPr>
            </w:pPr>
          </w:p>
        </w:tc>
        <w:tc>
          <w:tcPr>
            <w:tcW w:w="2212" w:type="dxa"/>
            <w:shd w:val="clear" w:color="auto" w:fill="D9D9D9"/>
          </w:tcPr>
          <w:p w14:paraId="15F0614B" w14:textId="77777777" w:rsidR="00C23215" w:rsidRPr="0003029A" w:rsidRDefault="00C23215" w:rsidP="00C23215">
            <w:pPr>
              <w:snapToGrid w:val="0"/>
              <w:jc w:val="both"/>
              <w:rPr>
                <w:rFonts w:cs="Times New Roman"/>
                <w:sz w:val="16"/>
                <w:szCs w:val="16"/>
              </w:rPr>
            </w:pPr>
          </w:p>
        </w:tc>
      </w:tr>
      <w:tr w:rsidR="00C23215" w:rsidRPr="0003029A" w14:paraId="37E3197E" w14:textId="77777777" w:rsidTr="00376093">
        <w:trPr>
          <w:trHeight w:val="241"/>
        </w:trPr>
        <w:tc>
          <w:tcPr>
            <w:tcW w:w="5367" w:type="dxa"/>
            <w:shd w:val="clear" w:color="auto" w:fill="auto"/>
          </w:tcPr>
          <w:p w14:paraId="11C55905" w14:textId="77777777" w:rsidR="00C23215" w:rsidRPr="0003029A" w:rsidRDefault="00C23215" w:rsidP="00C23215">
            <w:pPr>
              <w:snapToGrid w:val="0"/>
              <w:jc w:val="both"/>
              <w:rPr>
                <w:rFonts w:cs="Times New Roman"/>
                <w:sz w:val="16"/>
                <w:szCs w:val="16"/>
              </w:rPr>
            </w:pPr>
          </w:p>
        </w:tc>
        <w:tc>
          <w:tcPr>
            <w:tcW w:w="1225" w:type="dxa"/>
            <w:shd w:val="clear" w:color="auto" w:fill="9CC2E5"/>
            <w:vAlign w:val="center"/>
          </w:tcPr>
          <w:p w14:paraId="5AF4C6F1" w14:textId="77777777" w:rsidR="00C23215" w:rsidRPr="0003029A" w:rsidRDefault="00C23215" w:rsidP="00C23215">
            <w:pPr>
              <w:jc w:val="both"/>
            </w:pPr>
            <w:r w:rsidRPr="0003029A">
              <w:rPr>
                <w:rFonts w:cs="Times New Roman"/>
                <w:sz w:val="16"/>
                <w:szCs w:val="16"/>
              </w:rPr>
              <w:t xml:space="preserve">Totale </w:t>
            </w:r>
            <w:r>
              <w:rPr>
                <w:rFonts w:cs="Times New Roman"/>
                <w:sz w:val="16"/>
                <w:szCs w:val="16"/>
              </w:rPr>
              <w:t>80</w:t>
            </w:r>
          </w:p>
        </w:tc>
        <w:tc>
          <w:tcPr>
            <w:tcW w:w="780" w:type="dxa"/>
            <w:shd w:val="clear" w:color="auto" w:fill="9CC2E5"/>
          </w:tcPr>
          <w:p w14:paraId="7B80F93E" w14:textId="77777777" w:rsidR="00C23215" w:rsidRPr="0003029A" w:rsidRDefault="00C23215" w:rsidP="00C23215">
            <w:pPr>
              <w:snapToGrid w:val="0"/>
              <w:jc w:val="both"/>
              <w:rPr>
                <w:rFonts w:cs="Times New Roman"/>
                <w:sz w:val="16"/>
                <w:szCs w:val="16"/>
              </w:rPr>
            </w:pPr>
          </w:p>
        </w:tc>
        <w:tc>
          <w:tcPr>
            <w:tcW w:w="2212" w:type="dxa"/>
            <w:shd w:val="clear" w:color="auto" w:fill="9CC2E5"/>
          </w:tcPr>
          <w:p w14:paraId="1DE6BCBB" w14:textId="77777777" w:rsidR="00C23215" w:rsidRPr="0003029A" w:rsidRDefault="00C23215" w:rsidP="00C23215">
            <w:pPr>
              <w:snapToGrid w:val="0"/>
              <w:jc w:val="both"/>
              <w:rPr>
                <w:rFonts w:cs="Times New Roman"/>
                <w:sz w:val="16"/>
                <w:szCs w:val="16"/>
              </w:rPr>
            </w:pPr>
          </w:p>
        </w:tc>
      </w:tr>
    </w:tbl>
    <w:p w14:paraId="1E55BC29" w14:textId="77777777" w:rsidR="00D556A3" w:rsidRPr="0003029A" w:rsidRDefault="00D556A3" w:rsidP="00D556A3">
      <w:pPr>
        <w:rPr>
          <w:rFonts w:cs="Times New Roman"/>
          <w:b/>
        </w:rPr>
      </w:pPr>
    </w:p>
    <w:p w14:paraId="5A202C03" w14:textId="77777777" w:rsidR="00627D1A" w:rsidRDefault="00627D1A">
      <w:pPr>
        <w:jc w:val="center"/>
        <w:rPr>
          <w:rFonts w:cs="Times New Roman"/>
          <w:b/>
        </w:rPr>
      </w:pPr>
    </w:p>
    <w:p w14:paraId="1F4554FF" w14:textId="77777777" w:rsidR="00EB3930" w:rsidRPr="0003029A" w:rsidRDefault="00EB3930">
      <w:pPr>
        <w:jc w:val="center"/>
        <w:rPr>
          <w:rFonts w:cs="Times New Roman"/>
          <w:b/>
        </w:rPr>
      </w:pPr>
    </w:p>
    <w:p w14:paraId="41DA6F50" w14:textId="77777777" w:rsidR="00627D1A" w:rsidRPr="0003029A" w:rsidRDefault="00627D1A">
      <w:pPr>
        <w:pStyle w:val="AElencotratto"/>
      </w:pPr>
      <w:r w:rsidRPr="0003029A">
        <w:rPr>
          <w:rFonts w:ascii="Times New Roman" w:hAnsi="Times New Roman" w:cs="Times New Roman"/>
          <w:sz w:val="24"/>
          <w:szCs w:val="24"/>
        </w:rPr>
        <w:t>…………………………………., …..……………………..</w:t>
      </w:r>
    </w:p>
    <w:p w14:paraId="73ED1E23" w14:textId="77777777" w:rsidR="00627D1A" w:rsidRPr="0003029A" w:rsidRDefault="00627D1A">
      <w:r w:rsidRPr="0003029A">
        <w:rPr>
          <w:rFonts w:cs="Times New Roman"/>
        </w:rPr>
        <w:t>[Luogo]</w:t>
      </w:r>
      <w:r w:rsidRPr="0003029A">
        <w:rPr>
          <w:rFonts w:cs="Times New Roman"/>
        </w:rPr>
        <w:tab/>
      </w:r>
      <w:r w:rsidRPr="0003029A">
        <w:rPr>
          <w:rFonts w:cs="Times New Roman"/>
        </w:rPr>
        <w:tab/>
      </w:r>
      <w:r w:rsidRPr="0003029A">
        <w:rPr>
          <w:rFonts w:cs="Times New Roman"/>
        </w:rPr>
        <w:tab/>
        <w:t>[Data]</w:t>
      </w:r>
    </w:p>
    <w:p w14:paraId="6AAA08E4" w14:textId="77777777" w:rsidR="00627D1A" w:rsidRPr="0003029A" w:rsidRDefault="00627D1A">
      <w:pPr>
        <w:ind w:left="5664"/>
        <w:jc w:val="center"/>
      </w:pPr>
      <w:r w:rsidRPr="0003029A">
        <w:rPr>
          <w:rFonts w:cs="Times New Roman"/>
        </w:rPr>
        <w:t>……………………………………</w:t>
      </w:r>
    </w:p>
    <w:p w14:paraId="18240D7D" w14:textId="77777777" w:rsidR="00627D1A" w:rsidRDefault="00627D1A">
      <w:pPr>
        <w:ind w:left="5664"/>
        <w:jc w:val="center"/>
      </w:pPr>
      <w:r w:rsidRPr="0003029A">
        <w:rPr>
          <w:rFonts w:cs="Times New Roman"/>
        </w:rPr>
        <w:t>[Firma]</w:t>
      </w:r>
    </w:p>
    <w:p w14:paraId="3A263526" w14:textId="77777777" w:rsidR="00627D1A" w:rsidRDefault="00627D1A">
      <w:pPr>
        <w:ind w:left="5664"/>
        <w:jc w:val="center"/>
        <w:rPr>
          <w:rFonts w:eastAsia="Calibri" w:cs="Times New Roman"/>
          <w:i/>
          <w:iCs/>
          <w:color w:val="000000"/>
          <w:shd w:val="clear" w:color="auto" w:fill="FFFF00"/>
        </w:rPr>
      </w:pPr>
    </w:p>
    <w:sectPr w:rsidR="00627D1A">
      <w:headerReference w:type="default" r:id="rId7"/>
      <w:footerReference w:type="default" r:id="rId8"/>
      <w:pgSz w:w="11906" w:h="16838"/>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9E3B" w14:textId="77777777" w:rsidR="00C83BB0" w:rsidRDefault="00C83BB0" w:rsidP="00FD1BB7">
      <w:r>
        <w:separator/>
      </w:r>
    </w:p>
  </w:endnote>
  <w:endnote w:type="continuationSeparator" w:id="0">
    <w:p w14:paraId="0AAC417F" w14:textId="77777777" w:rsidR="00C83BB0" w:rsidRDefault="00C83BB0" w:rsidP="00FD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StopD">
    <w:altName w:val="Courier New"/>
    <w:charset w:val="00"/>
    <w:family w:val="decorative"/>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charset w:val="01"/>
    <w:family w:val="auto"/>
    <w:pitch w:val="variable"/>
  </w:font>
  <w:font w:name="Lohit Devanagari">
    <w:altName w:val="Cambria"/>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charset w:val="00"/>
    <w:family w:val="auto"/>
    <w:pitch w:val="variable"/>
    <w:sig w:usb0="E00002FF" w:usb1="5000205A" w:usb2="00000000" w:usb3="00000000" w:csb0="0000019F" w:csb1="00000000"/>
  </w:font>
  <w:font w:name="Times-Roman">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6986" w14:textId="672F5F72" w:rsidR="00FD1BB7" w:rsidRDefault="005157FF">
    <w:pPr>
      <w:pStyle w:val="Pidipagina"/>
    </w:pPr>
    <w:r>
      <w:rPr>
        <w:noProof/>
      </w:rPr>
      <w:drawing>
        <wp:inline distT="0" distB="0" distL="0" distR="0" wp14:anchorId="1F6D7DA5" wp14:editId="4EFB4820">
          <wp:extent cx="6120130" cy="64683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TRIS DSSTTA.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68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7B01" w14:textId="77777777" w:rsidR="00C83BB0" w:rsidRDefault="00C83BB0" w:rsidP="00FD1BB7">
      <w:r>
        <w:separator/>
      </w:r>
    </w:p>
  </w:footnote>
  <w:footnote w:type="continuationSeparator" w:id="0">
    <w:p w14:paraId="14C5B42A" w14:textId="77777777" w:rsidR="00C83BB0" w:rsidRDefault="00C83BB0" w:rsidP="00FD1BB7">
      <w:r>
        <w:continuationSeparator/>
      </w:r>
    </w:p>
  </w:footnote>
  <w:footnote w:id="1">
    <w:p w14:paraId="46E0404A" w14:textId="77777777" w:rsidR="005E6675" w:rsidRPr="007343A0" w:rsidRDefault="005E6675" w:rsidP="005E6675">
      <w:r>
        <w:rPr>
          <w:rStyle w:val="Rimandonotaapidipagina"/>
        </w:rPr>
        <w:footnoteRef/>
      </w:r>
      <w:r w:rsidRPr="007343A0">
        <w:t xml:space="preserve"> </w:t>
      </w:r>
      <w:r w:rsidRPr="00EC0BE9">
        <w:rPr>
          <w:sz w:val="20"/>
          <w:szCs w:val="20"/>
          <w:vertAlign w:val="superscript"/>
        </w:rPr>
        <w:t xml:space="preserve">Il throughput del firewall è misurato con le funzionalità di controllo applicativo e </w:t>
      </w:r>
      <w:proofErr w:type="spellStart"/>
      <w:r w:rsidRPr="00EC0BE9">
        <w:rPr>
          <w:sz w:val="20"/>
          <w:szCs w:val="20"/>
          <w:vertAlign w:val="superscript"/>
        </w:rPr>
        <w:t>logging</w:t>
      </w:r>
      <w:proofErr w:type="spellEnd"/>
      <w:r w:rsidRPr="00EC0BE9">
        <w:rPr>
          <w:sz w:val="20"/>
          <w:szCs w:val="20"/>
          <w:vertAlign w:val="superscript"/>
        </w:rPr>
        <w:t xml:space="preserve"> abilitate (64 KB HTTP) </w:t>
      </w:r>
    </w:p>
  </w:footnote>
  <w:footnote w:id="2">
    <w:p w14:paraId="240F2C27" w14:textId="77777777" w:rsidR="005E6675" w:rsidRPr="007343A0" w:rsidRDefault="005E6675" w:rsidP="005E6675">
      <w:pPr>
        <w:pStyle w:val="Testonotaapidipagina"/>
      </w:pPr>
      <w:r>
        <w:rPr>
          <w:rStyle w:val="Rimandonotaapidipagina"/>
        </w:rPr>
        <w:footnoteRef/>
      </w:r>
      <w:r w:rsidRPr="007343A0">
        <w:t xml:space="preserve"> </w:t>
      </w:r>
      <w:r w:rsidRPr="007343A0">
        <w:rPr>
          <w:vertAlign w:val="superscript"/>
        </w:rPr>
        <w:t xml:space="preserve">Il </w:t>
      </w:r>
      <w:proofErr w:type="spellStart"/>
      <w:r w:rsidRPr="007343A0">
        <w:rPr>
          <w:vertAlign w:val="superscript"/>
        </w:rPr>
        <w:t>Threat</w:t>
      </w:r>
      <w:proofErr w:type="spellEnd"/>
      <w:r w:rsidRPr="007343A0">
        <w:rPr>
          <w:vertAlign w:val="superscript"/>
        </w:rPr>
        <w:t xml:space="preserve"> </w:t>
      </w:r>
      <w:proofErr w:type="spellStart"/>
      <w:r w:rsidRPr="007343A0">
        <w:rPr>
          <w:vertAlign w:val="superscript"/>
        </w:rPr>
        <w:t>Prevention</w:t>
      </w:r>
      <w:proofErr w:type="spellEnd"/>
      <w:r w:rsidRPr="007343A0">
        <w:rPr>
          <w:vertAlign w:val="superscript"/>
        </w:rPr>
        <w:t xml:space="preserve"> Throughput è misurato con controllo applicativo, IDS/IPS, antivirus, anti-spyware, sandbox, file </w:t>
      </w:r>
      <w:proofErr w:type="spellStart"/>
      <w:r w:rsidRPr="007343A0">
        <w:rPr>
          <w:vertAlign w:val="superscript"/>
        </w:rPr>
        <w:t>blocking</w:t>
      </w:r>
      <w:proofErr w:type="spellEnd"/>
      <w:r w:rsidRPr="007343A0">
        <w:rPr>
          <w:vertAlign w:val="superscript"/>
        </w:rPr>
        <w:t xml:space="preserve">, e </w:t>
      </w:r>
      <w:proofErr w:type="spellStart"/>
      <w:r w:rsidRPr="007343A0">
        <w:rPr>
          <w:vertAlign w:val="superscript"/>
        </w:rPr>
        <w:t>logging</w:t>
      </w:r>
      <w:proofErr w:type="spellEnd"/>
      <w:r w:rsidRPr="007343A0">
        <w:rPr>
          <w:vertAlign w:val="superscript"/>
        </w:rPr>
        <w:t xml:space="preserve"> abilitati (64 KB HTTP)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76FA" w14:textId="50EDC20B" w:rsidR="00FD1BB7" w:rsidRDefault="00D95903">
    <w:pPr>
      <w:pStyle w:val="Intestazione"/>
    </w:pPr>
    <w:r>
      <w:rPr>
        <w:noProof/>
      </w:rPr>
      <w:drawing>
        <wp:inline distT="0" distB="0" distL="0" distR="0" wp14:anchorId="4C3A07FF" wp14:editId="1F617CD8">
          <wp:extent cx="6120130" cy="6473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N FSE FESR CNR OK.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7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10C5004F"/>
    <w:multiLevelType w:val="hybridMultilevel"/>
    <w:tmpl w:val="88C6AA70"/>
    <w:lvl w:ilvl="0" w:tplc="04100001">
      <w:start w:val="1"/>
      <w:numFmt w:val="bullet"/>
      <w:lvlText w:val=""/>
      <w:lvlJc w:val="left"/>
      <w:pPr>
        <w:ind w:left="720" w:hanging="360"/>
      </w:pPr>
      <w:rPr>
        <w:rFonts w:ascii="Symbol" w:hAnsi="Symbol" w:hint="default"/>
      </w:rPr>
    </w:lvl>
    <w:lvl w:ilvl="1" w:tplc="C0FCFF6E">
      <w:numFmt w:val="bullet"/>
      <w:lvlText w:val=""/>
      <w:lvlJc w:val="left"/>
      <w:pPr>
        <w:ind w:left="1785" w:hanging="705"/>
      </w:pPr>
      <w:rPr>
        <w:rFonts w:ascii="Wingdings" w:eastAsia="Wingdings" w:hAnsi="Wingdings" w:cs="Wingdings" w:hint="default"/>
        <w:w w:val="100"/>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E960D8"/>
    <w:multiLevelType w:val="hybridMultilevel"/>
    <w:tmpl w:val="F13646BC"/>
    <w:lvl w:ilvl="0" w:tplc="D9B820F6">
      <w:start w:val="2"/>
      <w:numFmt w:val="bullet"/>
      <w:lvlText w:val="-"/>
      <w:lvlJc w:val="left"/>
      <w:pPr>
        <w:ind w:left="1778" w:hanging="360"/>
      </w:pPr>
      <w:rPr>
        <w:rFonts w:ascii="Times New Roman" w:eastAsia="SimSun" w:hAnsi="Times New Roman" w:cs="Times New Roman"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15:restartNumberingAfterBreak="0">
    <w:nsid w:val="2ED15421"/>
    <w:multiLevelType w:val="hybridMultilevel"/>
    <w:tmpl w:val="66707658"/>
    <w:lvl w:ilvl="0" w:tplc="8916735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245C76"/>
    <w:multiLevelType w:val="hybridMultilevel"/>
    <w:tmpl w:val="D5B4E2EA"/>
    <w:lvl w:ilvl="0" w:tplc="B29EF92C">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F24126"/>
    <w:multiLevelType w:val="hybridMultilevel"/>
    <w:tmpl w:val="316429A4"/>
    <w:lvl w:ilvl="0" w:tplc="8916735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EE4DB1"/>
    <w:multiLevelType w:val="hybridMultilevel"/>
    <w:tmpl w:val="8BEEB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6"/>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9A"/>
    <w:rsid w:val="0002119A"/>
    <w:rsid w:val="0003029A"/>
    <w:rsid w:val="000751EF"/>
    <w:rsid w:val="0007550A"/>
    <w:rsid w:val="00077A2E"/>
    <w:rsid w:val="0009496D"/>
    <w:rsid w:val="00095C85"/>
    <w:rsid w:val="000B122A"/>
    <w:rsid w:val="000C7982"/>
    <w:rsid w:val="000D11AC"/>
    <w:rsid w:val="0011463E"/>
    <w:rsid w:val="001270AE"/>
    <w:rsid w:val="001539DE"/>
    <w:rsid w:val="00165E53"/>
    <w:rsid w:val="001916B3"/>
    <w:rsid w:val="00195FB1"/>
    <w:rsid w:val="001E4AFC"/>
    <w:rsid w:val="00203400"/>
    <w:rsid w:val="00211AD8"/>
    <w:rsid w:val="00220F0C"/>
    <w:rsid w:val="002273EE"/>
    <w:rsid w:val="00281583"/>
    <w:rsid w:val="002A022D"/>
    <w:rsid w:val="002D7765"/>
    <w:rsid w:val="002E43BB"/>
    <w:rsid w:val="00316F0B"/>
    <w:rsid w:val="0032722A"/>
    <w:rsid w:val="00376093"/>
    <w:rsid w:val="003B4DE6"/>
    <w:rsid w:val="003C20F4"/>
    <w:rsid w:val="004710A5"/>
    <w:rsid w:val="004B70BC"/>
    <w:rsid w:val="00502A7F"/>
    <w:rsid w:val="00504DCA"/>
    <w:rsid w:val="005157FF"/>
    <w:rsid w:val="005603FA"/>
    <w:rsid w:val="005860C6"/>
    <w:rsid w:val="005915A4"/>
    <w:rsid w:val="00591D4E"/>
    <w:rsid w:val="005B2EA5"/>
    <w:rsid w:val="005B346C"/>
    <w:rsid w:val="005E6675"/>
    <w:rsid w:val="00610A2C"/>
    <w:rsid w:val="00627D1A"/>
    <w:rsid w:val="0068166D"/>
    <w:rsid w:val="006D0022"/>
    <w:rsid w:val="007067EE"/>
    <w:rsid w:val="007121C7"/>
    <w:rsid w:val="00774387"/>
    <w:rsid w:val="00780783"/>
    <w:rsid w:val="00780CCD"/>
    <w:rsid w:val="007A240E"/>
    <w:rsid w:val="007A4E55"/>
    <w:rsid w:val="00886867"/>
    <w:rsid w:val="008E4147"/>
    <w:rsid w:val="008F6640"/>
    <w:rsid w:val="009905CD"/>
    <w:rsid w:val="009C068C"/>
    <w:rsid w:val="009C1544"/>
    <w:rsid w:val="009D391E"/>
    <w:rsid w:val="009E7FF5"/>
    <w:rsid w:val="00A748E1"/>
    <w:rsid w:val="00AA0A02"/>
    <w:rsid w:val="00AA1378"/>
    <w:rsid w:val="00AA53B2"/>
    <w:rsid w:val="00AB38FB"/>
    <w:rsid w:val="00B367F2"/>
    <w:rsid w:val="00BA5809"/>
    <w:rsid w:val="00C23215"/>
    <w:rsid w:val="00C6296E"/>
    <w:rsid w:val="00C83BB0"/>
    <w:rsid w:val="00D556A3"/>
    <w:rsid w:val="00D91222"/>
    <w:rsid w:val="00D95903"/>
    <w:rsid w:val="00DA129A"/>
    <w:rsid w:val="00DB5CFE"/>
    <w:rsid w:val="00E12DCC"/>
    <w:rsid w:val="00E30124"/>
    <w:rsid w:val="00E4482E"/>
    <w:rsid w:val="00E940F1"/>
    <w:rsid w:val="00EB3930"/>
    <w:rsid w:val="00F74FDF"/>
    <w:rsid w:val="00FD1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D59AD8"/>
  <w15:chartTrackingRefBased/>
  <w15:docId w15:val="{53B35CC0-A7C9-D649-AA92-3EB6780C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numPr>
        <w:numId w:val="1"/>
      </w:numPr>
      <w:spacing w:before="240" w:line="200" w:lineRule="exact"/>
      <w:ind w:left="57"/>
      <w:outlineLvl w:val="0"/>
    </w:pPr>
    <w:rPr>
      <w:b/>
    </w:rPr>
  </w:style>
  <w:style w:type="paragraph" w:styleId="Titolo2">
    <w:name w:val="heading 2"/>
    <w:basedOn w:val="Normale"/>
    <w:next w:val="Normale"/>
    <w:qFormat/>
    <w:pPr>
      <w:keepNext/>
      <w:numPr>
        <w:ilvl w:val="1"/>
        <w:numId w:val="1"/>
      </w:numPr>
      <w:jc w:val="right"/>
      <w:outlineLvl w:val="1"/>
    </w:pPr>
    <w:rPr>
      <w:b/>
    </w:rPr>
  </w:style>
  <w:style w:type="paragraph" w:styleId="Titolo3">
    <w:name w:val="heading 3"/>
    <w:basedOn w:val="Normale"/>
    <w:next w:val="Normale"/>
    <w:qFormat/>
    <w:pPr>
      <w:keepNext/>
      <w:numPr>
        <w:ilvl w:val="2"/>
        <w:numId w:val="1"/>
      </w:numPr>
      <w:spacing w:before="240" w:after="60"/>
      <w:outlineLvl w:val="2"/>
    </w:pPr>
    <w:rPr>
      <w:rFonts w:ascii="Cambria" w:hAnsi="Cambria" w:cs="Cambria"/>
      <w:b/>
      <w:bCs/>
      <w:sz w:val="26"/>
      <w:szCs w:val="26"/>
    </w:rPr>
  </w:style>
  <w:style w:type="paragraph" w:styleId="Titolo4">
    <w:name w:val="heading 4"/>
    <w:basedOn w:val="Normale"/>
    <w:next w:val="Normale"/>
    <w:qFormat/>
    <w:pPr>
      <w:keepNext/>
      <w:numPr>
        <w:ilvl w:val="3"/>
        <w:numId w:val="1"/>
      </w:numPr>
      <w:jc w:val="center"/>
      <w:outlineLvl w:val="3"/>
    </w:pPr>
    <w:rPr>
      <w:rFonts w:ascii="Stymie SWC" w:hAnsi="Stymie SWC" w:cs="Stymie SWC"/>
      <w:b/>
      <w:sz w:val="32"/>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9">
    <w:name w:val="heading 9"/>
    <w:basedOn w:val="Normale"/>
    <w:next w:val="Normale"/>
    <w:qFormat/>
    <w:pPr>
      <w:keepNext/>
      <w:keepLines/>
      <w:numPr>
        <w:ilvl w:val="8"/>
        <w:numId w:val="1"/>
      </w:numPr>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Carpredefinitoparagrafo2">
    <w:name w:val="Car. predefinito paragrafo2"/>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5z3">
    <w:name w:val="WW8Num5z3"/>
    <w:rPr>
      <w:rFonts w:ascii="Symbol" w:hAnsi="Symbol" w:cs="Symbol"/>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Caratteredinumerazione">
    <w:name w:val="Carattere di numerazione"/>
  </w:style>
  <w:style w:type="character" w:customStyle="1" w:styleId="Caratterinotadichiusura">
    <w:name w:val="Caratteri nota di chiusura"/>
    <w:rPr>
      <w:vertAlign w:val="superscript"/>
    </w:rPr>
  </w:style>
  <w:style w:type="character" w:customStyle="1" w:styleId="Caratterinotaapidipagina">
    <w:name w:val="Caratteri nota a piè di pagina"/>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rPr>
  </w:style>
  <w:style w:type="character" w:customStyle="1" w:styleId="WW8Num36z1">
    <w:name w:val="WW8Num36z1"/>
    <w:rPr>
      <w:rFonts w:cs="Calibri"/>
      <w:b/>
      <w:bCs/>
      <w:i w:val="0"/>
      <w:iCs/>
      <w:spacing w:val="-2"/>
      <w:sz w:val="24"/>
      <w:szCs w:val="24"/>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rPr>
  </w:style>
  <w:style w:type="character" w:customStyle="1" w:styleId="WW8Num35z0">
    <w:name w:val="WW8Num35z0"/>
    <w:rPr>
      <w:rFonts w:cs="Arial"/>
      <w:color w:val="auto"/>
      <w:sz w:val="24"/>
      <w:szCs w:val="24"/>
      <w:shd w:val="clear" w:color="auto" w:fill="auto"/>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rPr>
  </w:style>
  <w:style w:type="character" w:customStyle="1" w:styleId="WW8Num30z0">
    <w:name w:val="WW8Num30z0"/>
    <w:rPr>
      <w:rFonts w:cs="Calibri"/>
      <w:b/>
      <w:color w:val="1F497D"/>
      <w:sz w:val="24"/>
      <w:szCs w:val="24"/>
      <w:shd w:val="clear" w:color="auto" w:fill="23FF23"/>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bidi="ar-SA"/>
    </w:rPr>
  </w:style>
  <w:style w:type="character" w:customStyle="1" w:styleId="WW8Num23z0">
    <w:name w:val="WW8Num23z0"/>
    <w:rPr>
      <w:rFonts w:cs="Arial"/>
      <w:b/>
      <w:color w:val="1F497D"/>
      <w:sz w:val="24"/>
      <w:szCs w:val="24"/>
      <w:shd w:val="clear" w:color="auto" w:fill="auto"/>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rPr>
  </w:style>
  <w:style w:type="character" w:customStyle="1" w:styleId="WW8Num16z2">
    <w:name w:val="WW8Num16z2"/>
    <w:rPr>
      <w:rFonts w:cs="Calibri"/>
      <w:b w:val="0"/>
      <w:bCs/>
      <w:i w:val="0"/>
      <w:iCs/>
      <w:strike w:val="0"/>
      <w:dstrike w:val="0"/>
      <w:color w:val="auto"/>
      <w:sz w:val="24"/>
      <w:szCs w:val="24"/>
      <w:shd w:val="clear" w:color="auto" w:fill="auto"/>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rPr>
  </w:style>
  <w:style w:type="character" w:customStyle="1" w:styleId="WW8Num13z0">
    <w:name w:val="WW8Num13z0"/>
    <w:rPr>
      <w:rFonts w:cs="Calibri"/>
      <w:b/>
      <w:iCs/>
      <w:sz w:val="24"/>
      <w:szCs w:val="24"/>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apple-converted-space">
    <w:name w:val="apple-converted-space"/>
  </w:style>
  <w:style w:type="paragraph" w:customStyle="1" w:styleId="Titolo10">
    <w:name w:val="Titolo1"/>
    <w:basedOn w:val="Normale"/>
    <w:next w:val="Corpotesto"/>
    <w:pPr>
      <w:keepNext/>
      <w:spacing w:before="240" w:after="120"/>
    </w:pPr>
    <w:rPr>
      <w:rFonts w:ascii="Liberation Sans" w:eastAsia="Source Han Sans CN Regular" w:hAnsi="Liberation Sans" w:cs="Lohit Devanagari"/>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uiPriority w:val="99"/>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styleId="Paragrafoelenco">
    <w:name w:val="List Paragraph"/>
    <w:basedOn w:val="Normale"/>
    <w:uiPriority w:val="34"/>
    <w:qFormat/>
    <w:pPr>
      <w:ind w:left="720"/>
    </w:pPr>
    <w:rPr>
      <w:rFonts w:eastAsia="Calibri"/>
    </w:r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styleId="Sottotitolo">
    <w:name w:val="Subtitle"/>
    <w:basedOn w:val="Normale"/>
    <w:next w:val="Normale"/>
    <w:qFormat/>
    <w:pPr>
      <w:spacing w:after="60"/>
      <w:jc w:val="center"/>
    </w:pPr>
    <w:rPr>
      <w:rFonts w:ascii="Cambria" w:hAnsi="Cambria" w:cs="Cambria"/>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pPr>
      <w:numPr>
        <w:numId w:val="0"/>
      </w:numPr>
      <w:ind w:left="57"/>
    </w:pPr>
    <w:rPr>
      <w:rFonts w:ascii="Cambria" w:eastAsia="Times New Roman" w:hAnsi="Cambria" w:cs="Times New Roman"/>
      <w:color w:val="365F91"/>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styleId="Testonotaapidipagina">
    <w:name w:val="footnote text"/>
    <w:basedOn w:val="Normale"/>
    <w:link w:val="TestonotaapidipaginaCarattere1"/>
    <w:uiPriority w:val="99"/>
    <w:pPr>
      <w:spacing w:before="280" w:after="280" w:line="100" w:lineRule="atLeast"/>
      <w:jc w:val="both"/>
    </w:pPr>
    <w:rPr>
      <w:sz w:val="20"/>
      <w:szCs w:val="20"/>
    </w:rPr>
  </w:style>
  <w:style w:type="paragraph" w:customStyle="1" w:styleId="noteapi">
    <w:name w:val="note a piè"/>
    <w:basedOn w:val="Testonotaapidipagina"/>
    <w:rPr>
      <w:rFonts w:cs="Times New Roman"/>
    </w:rPr>
  </w:style>
  <w:style w:type="paragraph" w:customStyle="1" w:styleId="BodyTextIndent21">
    <w:name w:val="Body Text Indent 21"/>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cs="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OCHeading1">
    <w:name w:val="TOC Heading1"/>
    <w:basedOn w:val="Titolo1"/>
    <w:next w:val="Normale"/>
    <w:pPr>
      <w:numPr>
        <w:numId w:val="0"/>
      </w:numPr>
      <w:ind w:left="57"/>
    </w:pPr>
  </w:style>
  <w:style w:type="paragraph" w:customStyle="1" w:styleId="NoSpacing1">
    <w:name w:val="No Spacing1"/>
    <w:pPr>
      <w:suppressAutoHyphens/>
      <w:spacing w:line="276" w:lineRule="auto"/>
      <w:jc w:val="both"/>
    </w:pPr>
    <w:rPr>
      <w:rFonts w:ascii="Calibri" w:eastAsia="Calibri" w:hAnsi="Calibri" w:cs="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rPr>
  </w:style>
  <w:style w:type="paragraph" w:styleId="Sommario1">
    <w:name w:val="toc 1"/>
    <w:basedOn w:val="Normale"/>
    <w:next w:val="Normale"/>
  </w:style>
  <w:style w:type="paragraph" w:customStyle="1" w:styleId="Stile10">
    <w:name w:val="Stile1"/>
    <w:basedOn w:val="Titolo1"/>
    <w:pPr>
      <w:numPr>
        <w:numId w:val="0"/>
      </w:numPr>
      <w:spacing w:before="280" w:after="280" w:line="240" w:lineRule="atLeast"/>
      <w:ind w:left="57"/>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customStyle="1" w:styleId="ListParagraph1">
    <w:name w:val="List Paragraph1"/>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 w:type="paragraph" w:customStyle="1" w:styleId="Titolotabella">
    <w:name w:val="Titolo tabella"/>
    <w:basedOn w:val="Contenutotabella"/>
    <w:pPr>
      <w:jc w:val="center"/>
    </w:pPr>
    <w:rPr>
      <w:b/>
      <w:bCs/>
    </w:rPr>
  </w:style>
  <w:style w:type="character" w:styleId="Rimandonotaapidipagina">
    <w:name w:val="footnote reference"/>
    <w:basedOn w:val="Carpredefinitoparagrafo"/>
    <w:uiPriority w:val="99"/>
    <w:semiHidden/>
    <w:unhideWhenUsed/>
    <w:rsid w:val="005E6675"/>
    <w:rPr>
      <w:vertAlign w:val="superscript"/>
    </w:rPr>
  </w:style>
  <w:style w:type="character" w:customStyle="1" w:styleId="TestonotaapidipaginaCarattere1">
    <w:name w:val="Testo nota a piè di pagina Carattere1"/>
    <w:basedOn w:val="Carpredefinitoparagrafo"/>
    <w:link w:val="Testonotaapidipagina"/>
    <w:uiPriority w:val="99"/>
    <w:rsid w:val="005E6675"/>
    <w:rPr>
      <w:rFonts w:eastAsia="SimSu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1916</Words>
  <Characters>10924</Characters>
  <Application>Microsoft Office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Asus</cp:lastModifiedBy>
  <cp:revision>17</cp:revision>
  <cp:lastPrinted>2017-04-26T10:56:00Z</cp:lastPrinted>
  <dcterms:created xsi:type="dcterms:W3CDTF">2020-01-22T14:55:00Z</dcterms:created>
  <dcterms:modified xsi:type="dcterms:W3CDTF">2020-05-27T11:43:00Z</dcterms:modified>
</cp:coreProperties>
</file>