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9" w:rsidRPr="009A0C01" w:rsidRDefault="000742D9" w:rsidP="000742D9">
      <w:pPr>
        <w:ind w:left="140" w:right="138" w:hanging="2"/>
        <w:jc w:val="both"/>
        <w:rPr>
          <w:b/>
        </w:rPr>
      </w:pPr>
      <w:r w:rsidRPr="009A0C01">
        <w:rPr>
          <w:b/>
        </w:rPr>
        <w:t xml:space="preserve">Procedura negoziata, ai sensi dell’Art. 36, comma 2 lettera b), e comma 6 del </w:t>
      </w:r>
      <w:proofErr w:type="spellStart"/>
      <w:proofErr w:type="gramStart"/>
      <w:r w:rsidRPr="009A0C01">
        <w:rPr>
          <w:b/>
        </w:rPr>
        <w:t>D.Lgs</w:t>
      </w:r>
      <w:proofErr w:type="gramEnd"/>
      <w:r w:rsidRPr="009A0C01">
        <w:rPr>
          <w:b/>
        </w:rPr>
        <w:t>.</w:t>
      </w:r>
      <w:proofErr w:type="spellEnd"/>
      <w:r w:rsidRPr="009A0C01">
        <w:rPr>
          <w:b/>
        </w:rPr>
        <w:t xml:space="preserve"> N° 50/2016 e </w:t>
      </w:r>
      <w:proofErr w:type="spellStart"/>
      <w:r w:rsidRPr="009A0C01">
        <w:rPr>
          <w:b/>
        </w:rPr>
        <w:t>s.m.i.</w:t>
      </w:r>
      <w:proofErr w:type="spellEnd"/>
      <w:r w:rsidRPr="009A0C01">
        <w:rPr>
          <w:b/>
        </w:rPr>
        <w:t>, mediante Richiesta di Offerta (</w:t>
      </w:r>
      <w:proofErr w:type="spellStart"/>
      <w:r w:rsidRPr="009A0C01">
        <w:rPr>
          <w:b/>
        </w:rPr>
        <w:t>RdO</w:t>
      </w:r>
      <w:proofErr w:type="spellEnd"/>
      <w:r w:rsidRPr="009A0C01">
        <w:rPr>
          <w:b/>
        </w:rPr>
        <w:t>) sul Mercato elettronico della Pubblica Amministrazione (</w:t>
      </w:r>
      <w:proofErr w:type="spellStart"/>
      <w:r w:rsidRPr="009A0C01">
        <w:rPr>
          <w:b/>
        </w:rPr>
        <w:t>MePA</w:t>
      </w:r>
      <w:proofErr w:type="spellEnd"/>
      <w:r w:rsidRPr="009A0C01">
        <w:rPr>
          <w:b/>
        </w:rPr>
        <w:t xml:space="preserve">) per l’affidamento del servizio di pubblicazione degli estratti dei bandi/avvisi di gara per il </w:t>
      </w:r>
      <w:r w:rsidRPr="002F6579">
        <w:rPr>
          <w:b/>
        </w:rPr>
        <w:t xml:space="preserve">Dipartimento </w:t>
      </w:r>
      <w:r w:rsidR="00E92822">
        <w:rPr>
          <w:b/>
        </w:rPr>
        <w:t xml:space="preserve">di Scienze Biomediche </w:t>
      </w:r>
      <w:r w:rsidRPr="009A0C01">
        <w:rPr>
          <w:b/>
        </w:rPr>
        <w:t>(</w:t>
      </w:r>
      <w:r>
        <w:rPr>
          <w:b/>
        </w:rPr>
        <w:t>DS</w:t>
      </w:r>
      <w:r w:rsidR="00E92822">
        <w:rPr>
          <w:b/>
        </w:rPr>
        <w:t>B</w:t>
      </w:r>
      <w:r w:rsidRPr="009A0C01">
        <w:rPr>
          <w:b/>
        </w:rPr>
        <w:t>) del Consiglio Nazionale delle Ricerche</w:t>
      </w:r>
      <w:r>
        <w:rPr>
          <w:b/>
        </w:rPr>
        <w:t xml:space="preserve"> tramite un accordo quadro con un solo operatore economico ai sensi dell’Art. 54, comma 3 </w:t>
      </w:r>
      <w:r w:rsidRPr="009A0C01">
        <w:rPr>
          <w:b/>
        </w:rPr>
        <w:t xml:space="preserve">del </w:t>
      </w:r>
      <w:proofErr w:type="spellStart"/>
      <w:proofErr w:type="gramStart"/>
      <w:r w:rsidRPr="009A0C01">
        <w:rPr>
          <w:b/>
        </w:rPr>
        <w:t>D.Lgs</w:t>
      </w:r>
      <w:proofErr w:type="gramEnd"/>
      <w:r w:rsidRPr="009A0C01">
        <w:rPr>
          <w:b/>
        </w:rPr>
        <w:t>.</w:t>
      </w:r>
      <w:proofErr w:type="spellEnd"/>
      <w:r w:rsidRPr="009A0C01">
        <w:rPr>
          <w:b/>
        </w:rPr>
        <w:t xml:space="preserve"> N° 50/2016 e </w:t>
      </w:r>
      <w:proofErr w:type="spellStart"/>
      <w:r w:rsidRPr="009A0C01">
        <w:rPr>
          <w:b/>
        </w:rPr>
        <w:t>s.m.i.</w:t>
      </w:r>
      <w:proofErr w:type="spellEnd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652455" w:rsidRPr="009A0C01" w:rsidRDefault="000742D9" w:rsidP="00652455">
      <w:pPr>
        <w:ind w:left="187" w:right="18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 4</w:t>
      </w:r>
      <w:r w:rsidR="00652455" w:rsidRPr="009A0C01">
        <w:rPr>
          <w:rFonts w:asciiTheme="minorHAnsi" w:hAnsiTheme="minorHAnsi"/>
          <w:b/>
        </w:rPr>
        <w:t xml:space="preserve"> ALLA RDO</w:t>
      </w:r>
    </w:p>
    <w:p w:rsidR="00652455" w:rsidRPr="009A0C01" w:rsidRDefault="00652455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652455" w:rsidP="00652455">
      <w:pPr>
        <w:pStyle w:val="Corpotesto"/>
        <w:jc w:val="center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  <w:b/>
        </w:rPr>
        <w:t>PROGETTO TECNICO AI SENSI DELL’ART.23, COMMA 15 DEL D.LGS. N.50/2016</w:t>
      </w: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rPr>
          <w:rFonts w:asciiTheme="minorHAnsi" w:hAnsiTheme="minorHAnsi"/>
        </w:rPr>
        <w:sectPr w:rsidR="00CA629A" w:rsidRPr="009A0C01" w:rsidSect="00652455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sdt>
      <w:sdtPr>
        <w:rPr>
          <w:rFonts w:ascii="Calibri" w:eastAsiaTheme="minorHAnsi" w:hAnsi="Calibri" w:cstheme="minorHAnsi"/>
          <w:b w:val="0"/>
          <w:bCs w:val="0"/>
          <w:color w:val="auto"/>
          <w:sz w:val="20"/>
          <w:szCs w:val="20"/>
          <w:lang w:val="it-IT"/>
        </w:rPr>
        <w:id w:val="8430470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C0CD2" w:rsidRDefault="00CC0CD2" w:rsidP="00CC0CD2">
          <w:pPr>
            <w:pStyle w:val="Titolosommario"/>
            <w:keepNext w:val="0"/>
            <w:keepLines w:val="0"/>
            <w:pBdr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pBdr>
            <w:shd w:val="clear" w:color="auto" w:fill="4F81BD" w:themeFill="accent1"/>
            <w:spacing w:before="0" w:line="240" w:lineRule="auto"/>
          </w:pPr>
          <w:r w:rsidRPr="00CC0CD2">
            <w:rPr>
              <w:rFonts w:asciiTheme="minorHAnsi" w:eastAsiaTheme="minorEastAsia" w:hAnsiTheme="minorHAnsi" w:cstheme="minorBidi"/>
              <w:b w:val="0"/>
              <w:bCs w:val="0"/>
              <w:caps/>
              <w:color w:val="FFFFFF" w:themeColor="background1"/>
              <w:spacing w:val="15"/>
              <w:sz w:val="22"/>
              <w:szCs w:val="22"/>
              <w:lang w:val="it-IT"/>
            </w:rPr>
            <w:t>SOMMARIO</w:t>
          </w:r>
        </w:p>
        <w:p w:rsidR="00CC0CD2" w:rsidRDefault="00CC0CD2" w:rsidP="00CC0CD2">
          <w:pPr>
            <w:pStyle w:val="Sommario1"/>
            <w:tabs>
              <w:tab w:val="right" w:leader="dot" w:pos="10198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9164808" w:history="1">
            <w:r w:rsidRPr="00523F2A">
              <w:rPr>
                <w:rStyle w:val="Collegamentoipertestuale"/>
                <w:noProof/>
              </w:rPr>
              <w:t>PREMESSA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_Toc19164808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1"/>
            <w:tabs>
              <w:tab w:val="right" w:leader="dot" w:pos="10198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9164809" w:history="1">
            <w:r w:rsidR="00CC0CD2" w:rsidRPr="00523F2A">
              <w:rPr>
                <w:rStyle w:val="Collegamentoipertestuale"/>
                <w:noProof/>
              </w:rPr>
              <w:t>I - Relazione tecnico illustrativa con riferimento al contesto in cui è inserito il servizio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_Toc19164809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3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0" w:history="1">
            <w:r w:rsidR="00CC0CD2" w:rsidRPr="00523F2A">
              <w:rPr>
                <w:rStyle w:val="Collegamentoipertestuale"/>
                <w:noProof/>
              </w:rPr>
              <w:t>Quadro normativo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_Toc19164810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3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1" w:history="1">
            <w:r w:rsidR="00CC0CD2" w:rsidRPr="00523F2A">
              <w:rPr>
                <w:rStyle w:val="Collegamentoipertestuale"/>
                <w:noProof/>
              </w:rPr>
              <w:t>Contesto di riferimento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_Toc19164811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3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2" w:history="1">
            <w:r w:rsidR="00CC0CD2" w:rsidRPr="00523F2A">
              <w:rPr>
                <w:rStyle w:val="Collegamentoipertestuale"/>
                <w:noProof/>
              </w:rPr>
              <w:t>Obiettivi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_Toc19164812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4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3" w:history="1">
            <w:r w:rsidR="00CC0CD2" w:rsidRPr="00523F2A">
              <w:rPr>
                <w:rStyle w:val="Collegamentoipertestuale"/>
                <w:noProof/>
              </w:rPr>
              <w:t>Descrizione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_Toc19164813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4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4" w:history="1">
            <w:r w:rsidR="00CC0CD2" w:rsidRPr="00523F2A">
              <w:rPr>
                <w:rStyle w:val="Collegamentoipertestuale"/>
                <w:noProof/>
              </w:rPr>
              <w:t>Soggetti ammessi e criteri di selezione degli operatori economici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_Toc19164814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5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1"/>
            <w:tabs>
              <w:tab w:val="right" w:leader="dot" w:pos="10198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9164815" w:history="1">
            <w:r w:rsidR="00CC0CD2" w:rsidRPr="00523F2A">
              <w:rPr>
                <w:rStyle w:val="Collegamentoipertestuale"/>
                <w:noProof/>
              </w:rPr>
              <w:t>II - CALCOLO DELL’IMPORTO PER L’ACQUISizione del servizio E VALORE STIMATO DELL’APPALTO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_Toc19164815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5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6" w:history="1">
            <w:r w:rsidR="00CC0CD2" w:rsidRPr="00523F2A">
              <w:rPr>
                <w:rStyle w:val="Collegamentoipertestuale"/>
                <w:noProof/>
              </w:rPr>
              <w:t>Calcolo dell’importo per l’acquisizione del servizio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_Toc19164816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5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2"/>
            <w:tabs>
              <w:tab w:val="right" w:leader="dot" w:pos="10198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9164817" w:history="1">
            <w:r w:rsidR="00CC0CD2" w:rsidRPr="00523F2A">
              <w:rPr>
                <w:rStyle w:val="Collegamentoipertestuale"/>
                <w:noProof/>
              </w:rPr>
              <w:t>Valore stimato dell’appalto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_Toc19164817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5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47117E" w:rsidP="00CC0CD2">
          <w:pPr>
            <w:pStyle w:val="Sommario1"/>
            <w:tabs>
              <w:tab w:val="right" w:leader="dot" w:pos="10198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19164818" w:history="1">
            <w:r w:rsidR="00CC0CD2" w:rsidRPr="00523F2A">
              <w:rPr>
                <w:rStyle w:val="Collegamentoipertestuale"/>
                <w:noProof/>
              </w:rPr>
              <w:t>III - Prospetto economico degli oneri complessiVI necessari per l’acquisizione del servizio</w:t>
            </w:r>
            <w:r w:rsidR="00CC0CD2">
              <w:rPr>
                <w:noProof/>
                <w:webHidden/>
              </w:rPr>
              <w:tab/>
            </w:r>
            <w:r w:rsidR="00CC0CD2">
              <w:rPr>
                <w:noProof/>
                <w:webHidden/>
              </w:rPr>
              <w:fldChar w:fldCharType="begin"/>
            </w:r>
            <w:r w:rsidR="00CC0CD2">
              <w:rPr>
                <w:noProof/>
                <w:webHidden/>
              </w:rPr>
              <w:instrText xml:space="preserve"> PAGEREF _Toc19164818 \h </w:instrText>
            </w:r>
            <w:r w:rsidR="00CC0CD2">
              <w:rPr>
                <w:noProof/>
                <w:webHidden/>
              </w:rPr>
            </w:r>
            <w:r w:rsidR="00CC0CD2">
              <w:rPr>
                <w:noProof/>
                <w:webHidden/>
              </w:rPr>
              <w:fldChar w:fldCharType="separate"/>
            </w:r>
            <w:r w:rsidR="00926529">
              <w:rPr>
                <w:noProof/>
                <w:webHidden/>
              </w:rPr>
              <w:t>6</w:t>
            </w:r>
            <w:r w:rsidR="00CC0CD2">
              <w:rPr>
                <w:noProof/>
                <w:webHidden/>
              </w:rPr>
              <w:fldChar w:fldCharType="end"/>
            </w:r>
          </w:hyperlink>
        </w:p>
        <w:p w:rsidR="00CC0CD2" w:rsidRDefault="00CC0CD2">
          <w:r>
            <w:rPr>
              <w:rFonts w:asciiTheme="minorHAnsi" w:hAnsiTheme="minorHAnsi"/>
              <w:caps/>
            </w:rPr>
            <w:fldChar w:fldCharType="end"/>
          </w:r>
        </w:p>
      </w:sdtContent>
    </w:sdt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CA629A" w:rsidP="00652455">
      <w:pPr>
        <w:rPr>
          <w:rFonts w:asciiTheme="minorHAnsi" w:hAnsiTheme="minorHAnsi"/>
        </w:rPr>
        <w:sectPr w:rsidR="00CA629A" w:rsidRPr="009A0C01" w:rsidSect="00652455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567" w:right="851" w:bottom="567" w:left="851" w:header="768" w:footer="638" w:gutter="0"/>
          <w:pgNumType w:start="2"/>
          <w:cols w:space="720"/>
        </w:sect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  <w:b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  <w:b/>
        </w:rPr>
      </w:pP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  <w:b/>
        </w:rPr>
      </w:pPr>
    </w:p>
    <w:p w:rsidR="00CA629A" w:rsidRPr="009A0C01" w:rsidRDefault="00652455" w:rsidP="00652455">
      <w:pPr>
        <w:pStyle w:val="Titolo1"/>
        <w:rPr>
          <w:spacing w:val="0"/>
        </w:rPr>
      </w:pPr>
      <w:bookmarkStart w:id="0" w:name="_Toc19164808"/>
      <w:r w:rsidRPr="009A0C01">
        <w:rPr>
          <w:spacing w:val="0"/>
        </w:rPr>
        <w:t>PREMESSA</w:t>
      </w:r>
      <w:bookmarkEnd w:id="0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  <w:b/>
        </w:rPr>
      </w:pPr>
    </w:p>
    <w:p w:rsidR="00CA629A" w:rsidRPr="009A0C01" w:rsidRDefault="00652455" w:rsidP="00652455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La Stazione appaltante </w:t>
      </w:r>
      <w:r w:rsidR="002F6579" w:rsidRPr="002F6579">
        <w:rPr>
          <w:rFonts w:asciiTheme="minorHAnsi" w:hAnsiTheme="minorHAnsi"/>
        </w:rPr>
        <w:t xml:space="preserve">Dipartimento Scienze </w:t>
      </w:r>
      <w:r w:rsidR="00E92822">
        <w:rPr>
          <w:rFonts w:asciiTheme="minorHAnsi" w:hAnsiTheme="minorHAnsi"/>
        </w:rPr>
        <w:t>Biomediche</w:t>
      </w:r>
      <w:r w:rsidR="002F6579" w:rsidRPr="002F6579">
        <w:rPr>
          <w:rFonts w:asciiTheme="minorHAnsi" w:hAnsiTheme="minorHAnsi"/>
        </w:rPr>
        <w:t xml:space="preserve"> </w:t>
      </w:r>
      <w:r w:rsidRPr="009A0C01">
        <w:rPr>
          <w:rFonts w:asciiTheme="minorHAnsi" w:hAnsiTheme="minorHAnsi"/>
        </w:rPr>
        <w:t>(</w:t>
      </w:r>
      <w:r w:rsidR="002F6579">
        <w:rPr>
          <w:rFonts w:asciiTheme="minorHAnsi" w:hAnsiTheme="minorHAnsi"/>
        </w:rPr>
        <w:t>DS</w:t>
      </w:r>
      <w:r w:rsidR="00E92822">
        <w:rPr>
          <w:rFonts w:asciiTheme="minorHAnsi" w:hAnsiTheme="minorHAnsi"/>
        </w:rPr>
        <w:t>B</w:t>
      </w:r>
      <w:r w:rsidRPr="009A0C01">
        <w:rPr>
          <w:rFonts w:asciiTheme="minorHAnsi" w:hAnsiTheme="minorHAnsi"/>
        </w:rPr>
        <w:t>) del Consiglio Nazionale delle Ricerche (di seguito anche solo “CNR-</w:t>
      </w:r>
      <w:r w:rsidR="00E92822">
        <w:rPr>
          <w:rFonts w:asciiTheme="minorHAnsi" w:hAnsiTheme="minorHAnsi"/>
        </w:rPr>
        <w:t>DSB</w:t>
      </w:r>
      <w:r w:rsidRPr="009A0C01">
        <w:rPr>
          <w:rFonts w:asciiTheme="minorHAnsi" w:hAnsiTheme="minorHAnsi"/>
        </w:rPr>
        <w:t>” o “Amministrazione”)</w:t>
      </w:r>
      <w:r w:rsidR="007D5341" w:rsidRPr="009A0C01">
        <w:rPr>
          <w:rFonts w:asciiTheme="minorHAnsi" w:hAnsiTheme="minorHAnsi"/>
        </w:rPr>
        <w:t>, al fine di ottemperare agli obblighi di pubblicità degli avvisi e dei bandi relativi alle gare d’appalto con valore stimato di importo superiore alle soglie di cui all’art.</w:t>
      </w:r>
      <w:r w:rsidRPr="009A0C01">
        <w:rPr>
          <w:rFonts w:asciiTheme="minorHAnsi" w:hAnsiTheme="minorHAnsi"/>
        </w:rPr>
        <w:t xml:space="preserve"> </w:t>
      </w:r>
      <w:r w:rsidR="007D5341" w:rsidRPr="009A0C01">
        <w:rPr>
          <w:rFonts w:asciiTheme="minorHAnsi" w:hAnsiTheme="minorHAnsi"/>
        </w:rPr>
        <w:t xml:space="preserve">35, comma 1 del decreto legislativo </w:t>
      </w:r>
      <w:r w:rsidRPr="009A0C01">
        <w:rPr>
          <w:rFonts w:asciiTheme="minorHAnsi" w:hAnsiTheme="minorHAnsi"/>
        </w:rPr>
        <w:t>18 aprile 2016</w:t>
      </w:r>
      <w:r w:rsidR="007D5341" w:rsidRPr="009A0C01">
        <w:rPr>
          <w:rFonts w:asciiTheme="minorHAnsi" w:hAnsiTheme="minorHAnsi"/>
        </w:rPr>
        <w:t xml:space="preserve">, n.50 </w:t>
      </w:r>
      <w:r w:rsidRPr="009A0C01">
        <w:rPr>
          <w:rFonts w:asciiTheme="minorHAnsi" w:hAnsiTheme="minorHAnsi"/>
        </w:rPr>
        <w:t xml:space="preserve">e </w:t>
      </w:r>
      <w:proofErr w:type="spellStart"/>
      <w:r w:rsidRPr="009A0C01">
        <w:rPr>
          <w:rFonts w:asciiTheme="minorHAnsi" w:hAnsiTheme="minorHAnsi"/>
        </w:rPr>
        <w:t>s.m.i.</w:t>
      </w:r>
      <w:proofErr w:type="spellEnd"/>
      <w:r w:rsidRPr="009A0C01">
        <w:rPr>
          <w:rFonts w:asciiTheme="minorHAnsi" w:hAnsiTheme="minorHAnsi"/>
        </w:rPr>
        <w:t xml:space="preserve"> (di seguito anche solo “</w:t>
      </w:r>
      <w:proofErr w:type="spellStart"/>
      <w:proofErr w:type="gramStart"/>
      <w:r w:rsidRPr="009A0C01">
        <w:rPr>
          <w:rFonts w:asciiTheme="minorHAnsi" w:hAnsiTheme="minorHAnsi"/>
        </w:rPr>
        <w:t>D.Lgs</w:t>
      </w:r>
      <w:proofErr w:type="gramEnd"/>
      <w:r w:rsidRPr="009A0C01">
        <w:rPr>
          <w:rFonts w:asciiTheme="minorHAnsi" w:hAnsiTheme="minorHAnsi"/>
        </w:rPr>
        <w:t>.</w:t>
      </w:r>
      <w:proofErr w:type="spellEnd"/>
      <w:r w:rsidRPr="009A0C01">
        <w:rPr>
          <w:rFonts w:asciiTheme="minorHAnsi" w:hAnsiTheme="minorHAnsi"/>
        </w:rPr>
        <w:t xml:space="preserve"> N° 50/2016” o “Codice”)</w:t>
      </w:r>
      <w:r w:rsidR="007D5341" w:rsidRPr="009A0C01">
        <w:rPr>
          <w:rFonts w:asciiTheme="minorHAnsi" w:hAnsiTheme="minorHAnsi"/>
        </w:rPr>
        <w:t>, necessita di acquisire il relativo servizio.</w:t>
      </w:r>
    </w:p>
    <w:p w:rsidR="00652455" w:rsidRPr="009A0C01" w:rsidRDefault="00652455" w:rsidP="00652455">
      <w:pPr>
        <w:widowControl/>
        <w:autoSpaceDE/>
        <w:autoSpaceDN/>
        <w:jc w:val="both"/>
        <w:rPr>
          <w:rFonts w:asciiTheme="minorHAnsi" w:hAnsiTheme="minorHAnsi"/>
        </w:rPr>
      </w:pPr>
    </w:p>
    <w:p w:rsidR="00CA629A" w:rsidRPr="009A0C01" w:rsidRDefault="007D5341" w:rsidP="00286EE1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>Verificata l’indisponibilità di convenzioni CONSIP per soddisfare il bisogno e</w:t>
      </w:r>
      <w:r w:rsidR="00652455" w:rsidRPr="009A0C01">
        <w:rPr>
          <w:rFonts w:asciiTheme="minorHAnsi" w:hAnsiTheme="minorHAnsi"/>
        </w:rPr>
        <w:t>d</w:t>
      </w:r>
      <w:r w:rsidRPr="009A0C01">
        <w:rPr>
          <w:rFonts w:asciiTheme="minorHAnsi" w:hAnsiTheme="minorHAnsi"/>
        </w:rPr>
        <w:t xml:space="preserve"> in considerazione del valore com</w:t>
      </w:r>
      <w:r w:rsidR="00652455" w:rsidRPr="009A0C01">
        <w:rPr>
          <w:rFonts w:asciiTheme="minorHAnsi" w:hAnsiTheme="minorHAnsi"/>
        </w:rPr>
        <w:t>plessivo da porre a base d’asta</w:t>
      </w:r>
      <w:r w:rsidRPr="009A0C01">
        <w:rPr>
          <w:rFonts w:asciiTheme="minorHAnsi" w:hAnsiTheme="minorHAnsi"/>
        </w:rPr>
        <w:t xml:space="preserve"> la procedura </w:t>
      </w:r>
      <w:r w:rsidR="00652455" w:rsidRPr="009A0C01">
        <w:rPr>
          <w:rFonts w:asciiTheme="minorHAnsi" w:hAnsiTheme="minorHAnsi"/>
        </w:rPr>
        <w:t>di acquisizione può essere espletata</w:t>
      </w:r>
      <w:r w:rsidRPr="009A0C01">
        <w:rPr>
          <w:rFonts w:asciiTheme="minorHAnsi" w:hAnsiTheme="minorHAnsi"/>
        </w:rPr>
        <w:t xml:space="preserve"> mediante </w:t>
      </w:r>
      <w:r w:rsidR="005F01A8" w:rsidRPr="009A0C01">
        <w:rPr>
          <w:rFonts w:asciiTheme="minorHAnsi" w:hAnsiTheme="minorHAnsi"/>
        </w:rPr>
        <w:t>la procedura denominata “</w:t>
      </w:r>
      <w:r w:rsidRPr="009A0C01">
        <w:rPr>
          <w:rFonts w:asciiTheme="minorHAnsi" w:hAnsiTheme="minorHAnsi"/>
        </w:rPr>
        <w:t>Richiesta di Offerta</w:t>
      </w:r>
      <w:r w:rsidR="005F01A8" w:rsidRPr="009A0C01">
        <w:rPr>
          <w:rFonts w:asciiTheme="minorHAnsi" w:hAnsiTheme="minorHAnsi"/>
        </w:rPr>
        <w:t>”</w:t>
      </w:r>
      <w:r w:rsidRPr="009A0C01">
        <w:rPr>
          <w:rFonts w:asciiTheme="minorHAnsi" w:hAnsiTheme="minorHAnsi"/>
        </w:rPr>
        <w:t xml:space="preserve"> </w:t>
      </w:r>
      <w:r w:rsidR="005F01A8" w:rsidRPr="009A0C01">
        <w:rPr>
          <w:rFonts w:asciiTheme="minorHAnsi" w:hAnsiTheme="minorHAnsi"/>
        </w:rPr>
        <w:t>(</w:t>
      </w:r>
      <w:proofErr w:type="spellStart"/>
      <w:r w:rsidR="005F01A8" w:rsidRPr="009A0C01">
        <w:rPr>
          <w:rFonts w:asciiTheme="minorHAnsi" w:hAnsiTheme="minorHAnsi"/>
        </w:rPr>
        <w:t>RdO</w:t>
      </w:r>
      <w:proofErr w:type="spellEnd"/>
      <w:r w:rsidR="005F01A8" w:rsidRPr="009A0C01">
        <w:rPr>
          <w:rFonts w:asciiTheme="minorHAnsi" w:hAnsiTheme="minorHAnsi"/>
        </w:rPr>
        <w:t>) sul Mercato elettronico della Pubblica Amministrazione (</w:t>
      </w:r>
      <w:proofErr w:type="spellStart"/>
      <w:r w:rsidR="005F01A8" w:rsidRPr="009A0C01">
        <w:rPr>
          <w:rFonts w:asciiTheme="minorHAnsi" w:hAnsiTheme="minorHAnsi"/>
        </w:rPr>
        <w:t>MePA</w:t>
      </w:r>
      <w:proofErr w:type="spellEnd"/>
      <w:r w:rsidR="005F01A8" w:rsidRPr="009A0C01">
        <w:rPr>
          <w:rFonts w:asciiTheme="minorHAnsi" w:hAnsiTheme="minorHAnsi"/>
        </w:rPr>
        <w:t>)</w:t>
      </w:r>
      <w:r w:rsidRPr="009A0C01">
        <w:rPr>
          <w:rFonts w:asciiTheme="minorHAnsi" w:hAnsiTheme="minorHAnsi"/>
        </w:rPr>
        <w:t xml:space="preserve"> di cui all’art.</w:t>
      </w:r>
      <w:r w:rsidR="005F01A8" w:rsidRPr="009A0C01">
        <w:rPr>
          <w:rFonts w:asciiTheme="minorHAnsi" w:hAnsiTheme="minorHAnsi"/>
        </w:rPr>
        <w:t xml:space="preserve"> </w:t>
      </w:r>
      <w:r w:rsidRPr="009A0C01">
        <w:rPr>
          <w:rFonts w:asciiTheme="minorHAnsi" w:hAnsiTheme="minorHAnsi"/>
        </w:rPr>
        <w:t>36, comma 6 del Codice,</w:t>
      </w:r>
      <w:r w:rsidR="005F01A8" w:rsidRPr="009A0C01">
        <w:rPr>
          <w:rFonts w:asciiTheme="minorHAnsi" w:hAnsiTheme="minorHAnsi"/>
        </w:rPr>
        <w:t xml:space="preserve"> Bando “Prestazione di Servizi alle Pubbliche Amministrazioni”,</w:t>
      </w:r>
      <w:r w:rsidRPr="009A0C01">
        <w:rPr>
          <w:rFonts w:asciiTheme="minorHAnsi" w:hAnsiTheme="minorHAnsi"/>
        </w:rPr>
        <w:t xml:space="preserve"> categoria ”</w:t>
      </w:r>
      <w:r w:rsidR="00C63A1E" w:rsidRPr="009A0C01">
        <w:rPr>
          <w:rFonts w:asciiTheme="minorHAnsi" w:hAnsiTheme="minorHAnsi"/>
        </w:rPr>
        <w:t>Servizi di Informazione, Comunicazione e marketing</w:t>
      </w:r>
      <w:r w:rsidRPr="009A0C01">
        <w:rPr>
          <w:rFonts w:asciiTheme="minorHAnsi" w:hAnsiTheme="minorHAnsi"/>
        </w:rPr>
        <w:t>”</w:t>
      </w:r>
      <w:r w:rsidR="005F01A8" w:rsidRPr="009A0C01">
        <w:rPr>
          <w:rFonts w:asciiTheme="minorHAnsi" w:hAnsiTheme="minorHAnsi"/>
        </w:rPr>
        <w:t>,</w:t>
      </w:r>
      <w:r w:rsidRPr="009A0C01">
        <w:rPr>
          <w:rFonts w:asciiTheme="minorHAnsi" w:hAnsiTheme="minorHAnsi"/>
        </w:rPr>
        <w:t xml:space="preserve"> CPV </w:t>
      </w:r>
      <w:r w:rsidR="00286EE1">
        <w:rPr>
          <w:rFonts w:asciiTheme="minorHAnsi" w:hAnsiTheme="minorHAnsi"/>
        </w:rPr>
        <w:t xml:space="preserve">79341200-8 </w:t>
      </w:r>
      <w:r w:rsidR="005F01A8" w:rsidRPr="009A0C01">
        <w:rPr>
          <w:rFonts w:asciiTheme="minorHAnsi" w:hAnsiTheme="minorHAnsi"/>
        </w:rPr>
        <w:t xml:space="preserve"> – </w:t>
      </w:r>
      <w:r w:rsidR="00286EE1">
        <w:rPr>
          <w:rFonts w:asciiTheme="minorHAnsi" w:hAnsiTheme="minorHAnsi"/>
        </w:rPr>
        <w:t xml:space="preserve">Servizi di gestione </w:t>
      </w:r>
      <w:r w:rsidR="00286EE1" w:rsidRPr="00286EE1">
        <w:rPr>
          <w:rFonts w:asciiTheme="minorHAnsi" w:hAnsiTheme="minorHAnsi"/>
        </w:rPr>
        <w:t>pubblicitaria</w:t>
      </w:r>
      <w:r w:rsidRPr="009A0C01">
        <w:rPr>
          <w:rFonts w:asciiTheme="minorHAnsi" w:hAnsiTheme="minorHAnsi"/>
        </w:rPr>
        <w:t>.</w:t>
      </w:r>
    </w:p>
    <w:p w:rsidR="005F01A8" w:rsidRPr="009A0C01" w:rsidRDefault="005F01A8" w:rsidP="00652455">
      <w:pPr>
        <w:widowControl/>
        <w:autoSpaceDE/>
        <w:autoSpaceDN/>
        <w:jc w:val="both"/>
        <w:rPr>
          <w:rFonts w:asciiTheme="minorHAnsi" w:hAnsiTheme="minorHAnsi"/>
        </w:rPr>
      </w:pPr>
    </w:p>
    <w:p w:rsidR="00CA629A" w:rsidRPr="009A0C01" w:rsidRDefault="005F01A8" w:rsidP="00652455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In considerazione dell’importo stimato per il servizio e della natura propria dello stesso </w:t>
      </w:r>
      <w:r w:rsidR="007D5341" w:rsidRPr="009A0C01">
        <w:rPr>
          <w:rFonts w:asciiTheme="minorHAnsi" w:hAnsiTheme="minorHAnsi"/>
        </w:rPr>
        <w:t xml:space="preserve">la gara verrà aggiudicata ai sensi dell’art.95, comma 4, </w:t>
      </w:r>
      <w:proofErr w:type="spellStart"/>
      <w:r w:rsidR="007D5341" w:rsidRPr="009A0C01">
        <w:rPr>
          <w:rFonts w:asciiTheme="minorHAnsi" w:hAnsiTheme="minorHAnsi"/>
        </w:rPr>
        <w:t>lett</w:t>
      </w:r>
      <w:proofErr w:type="spellEnd"/>
      <w:r w:rsidR="007D5341" w:rsidRPr="009A0C01">
        <w:rPr>
          <w:rFonts w:asciiTheme="minorHAnsi" w:hAnsiTheme="minorHAnsi"/>
        </w:rPr>
        <w:t>.</w:t>
      </w:r>
      <w:r w:rsidRPr="009A0C01">
        <w:rPr>
          <w:rFonts w:asciiTheme="minorHAnsi" w:hAnsiTheme="minorHAnsi"/>
        </w:rPr>
        <w:t xml:space="preserve"> </w:t>
      </w:r>
      <w:r w:rsidR="002F6579">
        <w:rPr>
          <w:rFonts w:asciiTheme="minorHAnsi" w:hAnsiTheme="minorHAnsi"/>
        </w:rPr>
        <w:t>b</w:t>
      </w:r>
      <w:r w:rsidR="007D5341" w:rsidRPr="009A0C01">
        <w:rPr>
          <w:rFonts w:asciiTheme="minorHAnsi" w:hAnsiTheme="minorHAnsi"/>
        </w:rPr>
        <w:t>) del Codice dei contratti in favore del concorrente che avrà presentato il minor prezzo</w:t>
      </w:r>
      <w:r w:rsidRPr="009A0C01">
        <w:rPr>
          <w:rFonts w:asciiTheme="minorHAnsi" w:hAnsiTheme="minorHAnsi"/>
        </w:rPr>
        <w:t xml:space="preserve"> </w:t>
      </w:r>
      <w:r w:rsidR="007D5341" w:rsidRPr="009A0C01">
        <w:rPr>
          <w:rFonts w:asciiTheme="minorHAnsi" w:hAnsiTheme="minorHAnsi"/>
        </w:rPr>
        <w:t>determinato mediante offerta a prezzi unitari.</w:t>
      </w:r>
    </w:p>
    <w:p w:rsidR="005F01A8" w:rsidRPr="009A0C01" w:rsidRDefault="005F01A8" w:rsidP="00652455">
      <w:pPr>
        <w:widowControl/>
        <w:autoSpaceDE/>
        <w:autoSpaceDN/>
        <w:jc w:val="both"/>
        <w:rPr>
          <w:rFonts w:asciiTheme="minorHAnsi" w:hAnsiTheme="minorHAnsi"/>
        </w:rPr>
      </w:pPr>
    </w:p>
    <w:p w:rsidR="00C63A1E" w:rsidRPr="009A0C01" w:rsidRDefault="007D5341" w:rsidP="00652455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>L’appalto è costitui</w:t>
      </w:r>
      <w:r w:rsidR="00C63A1E" w:rsidRPr="009A0C01">
        <w:rPr>
          <w:rFonts w:asciiTheme="minorHAnsi" w:hAnsiTheme="minorHAnsi"/>
        </w:rPr>
        <w:t>to da un lotto unico in ragione:</w:t>
      </w:r>
    </w:p>
    <w:p w:rsidR="00C63A1E" w:rsidRPr="009A0C01" w:rsidRDefault="00C63A1E" w:rsidP="00793103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 xml:space="preserve">Dell’economicità della procedura: la Stazione appaltante ritiene infatti che </w:t>
      </w:r>
      <w:r w:rsidR="007D5341" w:rsidRPr="009A0C01">
        <w:rPr>
          <w:rFonts w:asciiTheme="minorHAnsi" w:hAnsiTheme="minorHAnsi" w:cstheme="minorHAnsi"/>
        </w:rPr>
        <w:t>i maggiori volumi possano far conseguire ribassi maggiori in sede d</w:t>
      </w:r>
      <w:r w:rsidRPr="009A0C01">
        <w:rPr>
          <w:rFonts w:asciiTheme="minorHAnsi" w:hAnsiTheme="minorHAnsi" w:cstheme="minorHAnsi"/>
        </w:rPr>
        <w:t>i aggiudicazione;</w:t>
      </w:r>
    </w:p>
    <w:p w:rsidR="00CA629A" w:rsidRPr="009A0C01" w:rsidRDefault="00C63A1E" w:rsidP="00793103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>Della semplificazione e della celerità del procedimento:</w:t>
      </w:r>
      <w:r w:rsidR="007D5341" w:rsidRPr="009A0C01">
        <w:rPr>
          <w:rFonts w:asciiTheme="minorHAnsi" w:hAnsiTheme="minorHAnsi" w:cstheme="minorHAnsi"/>
        </w:rPr>
        <w:t xml:space="preserve"> </w:t>
      </w:r>
      <w:r w:rsidRPr="009A0C01">
        <w:rPr>
          <w:rFonts w:asciiTheme="minorHAnsi" w:hAnsiTheme="minorHAnsi" w:cstheme="minorHAnsi"/>
        </w:rPr>
        <w:t>la Stazione appaltante potrà avvalersi di una interfaccia unica</w:t>
      </w:r>
      <w:r w:rsidR="007D5341" w:rsidRPr="009A0C01">
        <w:rPr>
          <w:rFonts w:asciiTheme="minorHAnsi" w:hAnsiTheme="minorHAnsi" w:cstheme="minorHAnsi"/>
        </w:rPr>
        <w:t xml:space="preserve"> verso le società concessionarie d</w:t>
      </w:r>
      <w:r w:rsidRPr="009A0C01">
        <w:rPr>
          <w:rFonts w:asciiTheme="minorHAnsi" w:hAnsiTheme="minorHAnsi" w:cstheme="minorHAnsi"/>
        </w:rPr>
        <w:t>ei servizi richiesti</w:t>
      </w:r>
      <w:r w:rsidR="004A5BD4">
        <w:rPr>
          <w:rFonts w:asciiTheme="minorHAnsi" w:hAnsiTheme="minorHAnsi" w:cstheme="minorHAnsi"/>
        </w:rPr>
        <w:t xml:space="preserve"> (Gazze</w:t>
      </w:r>
      <w:r w:rsidR="00E92822">
        <w:rPr>
          <w:rFonts w:asciiTheme="minorHAnsi" w:hAnsiTheme="minorHAnsi" w:cstheme="minorHAnsi"/>
        </w:rPr>
        <w:t>tta Ufficiale della Repubblica I</w:t>
      </w:r>
      <w:r w:rsidR="004A5BD4">
        <w:rPr>
          <w:rFonts w:asciiTheme="minorHAnsi" w:hAnsiTheme="minorHAnsi" w:cstheme="minorHAnsi"/>
        </w:rPr>
        <w:t xml:space="preserve">taliana, </w:t>
      </w:r>
      <w:r w:rsidR="007D5341" w:rsidRPr="009A0C01">
        <w:rPr>
          <w:rFonts w:asciiTheme="minorHAnsi" w:hAnsiTheme="minorHAnsi" w:cstheme="minorHAnsi"/>
        </w:rPr>
        <w:t>testate giornalistiche, anche local</w:t>
      </w:r>
      <w:r w:rsidR="007D5341" w:rsidRPr="004A5BD4">
        <w:rPr>
          <w:rFonts w:asciiTheme="minorHAnsi" w:hAnsiTheme="minorHAnsi" w:cstheme="minorHAnsi"/>
        </w:rPr>
        <w:t>i</w:t>
      </w:r>
      <w:r w:rsidRPr="004A5BD4">
        <w:rPr>
          <w:rFonts w:asciiTheme="minorHAnsi" w:hAnsiTheme="minorHAnsi" w:cstheme="minorHAnsi"/>
        </w:rPr>
        <w:t>)</w:t>
      </w:r>
      <w:r w:rsidR="004A5BD4" w:rsidRPr="004A5BD4">
        <w:rPr>
          <w:rFonts w:asciiTheme="minorHAnsi" w:hAnsiTheme="minorHAnsi" w:cstheme="minorHAnsi"/>
        </w:rPr>
        <w:t>.</w:t>
      </w:r>
    </w:p>
    <w:p w:rsidR="00C63A1E" w:rsidRPr="009A0C01" w:rsidRDefault="00C63A1E" w:rsidP="00652455">
      <w:pPr>
        <w:widowControl/>
        <w:autoSpaceDE/>
        <w:autoSpaceDN/>
        <w:jc w:val="both"/>
        <w:rPr>
          <w:rFonts w:asciiTheme="minorHAnsi" w:hAnsiTheme="minorHAnsi"/>
        </w:rPr>
      </w:pPr>
    </w:p>
    <w:p w:rsidR="00CA629A" w:rsidRPr="009A0C01" w:rsidRDefault="007D5341" w:rsidP="00C63A1E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Il Progetto tecnico si articola </w:t>
      </w:r>
      <w:r w:rsidR="00C63A1E" w:rsidRPr="009A0C01">
        <w:rPr>
          <w:rFonts w:asciiTheme="minorHAnsi" w:hAnsiTheme="minorHAnsi"/>
        </w:rPr>
        <w:t>in</w:t>
      </w:r>
      <w:r w:rsidRPr="009A0C01">
        <w:rPr>
          <w:rFonts w:asciiTheme="minorHAnsi" w:hAnsiTheme="minorHAnsi"/>
        </w:rPr>
        <w:t>:</w:t>
      </w:r>
    </w:p>
    <w:p w:rsidR="00C63A1E" w:rsidRPr="009A0C01" w:rsidRDefault="00C63A1E" w:rsidP="00C63A1E">
      <w:pPr>
        <w:widowControl/>
        <w:autoSpaceDE/>
        <w:autoSpaceDN/>
        <w:jc w:val="both"/>
        <w:rPr>
          <w:rFonts w:asciiTheme="minorHAnsi" w:hAnsiTheme="minorHAnsi"/>
        </w:rPr>
      </w:pPr>
    </w:p>
    <w:p w:rsidR="00CA629A" w:rsidRPr="009A0C01" w:rsidRDefault="007D5341" w:rsidP="00793103">
      <w:pPr>
        <w:pStyle w:val="Paragrafoelenco"/>
        <w:widowControl/>
        <w:numPr>
          <w:ilvl w:val="0"/>
          <w:numId w:val="4"/>
        </w:numPr>
        <w:autoSpaceDE/>
        <w:autoSpaceDN/>
        <w:ind w:left="567" w:right="23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>Relazione tecnico illustrativa con riferimento al contesto in cui è inserito il servizio;</w:t>
      </w:r>
    </w:p>
    <w:p w:rsidR="00CA629A" w:rsidRDefault="00CC0CD2" w:rsidP="00793103">
      <w:pPr>
        <w:pStyle w:val="Paragrafoelenco"/>
        <w:widowControl/>
        <w:numPr>
          <w:ilvl w:val="0"/>
          <w:numId w:val="4"/>
        </w:numPr>
        <w:autoSpaceDE/>
        <w:autoSpaceDN/>
        <w:ind w:left="567"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Calcolo</w:t>
      </w:r>
      <w:r w:rsidR="007D5341" w:rsidRPr="009A0C01">
        <w:rPr>
          <w:rFonts w:asciiTheme="minorHAnsi" w:hAnsiTheme="minorHAnsi" w:cstheme="minorHAnsi"/>
        </w:rPr>
        <w:t xml:space="preserve"> dell’importo per l’acquisizione del servizio</w:t>
      </w:r>
      <w:r>
        <w:rPr>
          <w:rFonts w:asciiTheme="minorHAnsi" w:hAnsiTheme="minorHAnsi" w:cstheme="minorHAnsi"/>
        </w:rPr>
        <w:t xml:space="preserve"> e valore stimato dell’appalto</w:t>
      </w:r>
      <w:r w:rsidR="00793103" w:rsidRPr="009A0C01">
        <w:rPr>
          <w:rFonts w:asciiTheme="minorHAnsi" w:hAnsiTheme="minorHAnsi" w:cstheme="minorHAnsi"/>
        </w:rPr>
        <w:t>;</w:t>
      </w:r>
    </w:p>
    <w:p w:rsidR="00CA629A" w:rsidRPr="009A0C01" w:rsidRDefault="009A0C01" w:rsidP="009A0C01">
      <w:pPr>
        <w:pStyle w:val="Paragrafoelenco"/>
        <w:widowControl/>
        <w:numPr>
          <w:ilvl w:val="0"/>
          <w:numId w:val="4"/>
        </w:numPr>
        <w:autoSpaceDE/>
        <w:autoSpaceDN/>
        <w:ind w:left="567" w:right="232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>Prospetto</w:t>
      </w:r>
      <w:r w:rsidRPr="009A0C01">
        <w:rPr>
          <w:rFonts w:asciiTheme="minorHAnsi" w:hAnsiTheme="minorHAnsi" w:cstheme="minorHAnsi"/>
        </w:rPr>
        <w:tab/>
        <w:t xml:space="preserve">economico degli oneri complessivi per l’acquisizione </w:t>
      </w:r>
      <w:r w:rsidR="007D5341" w:rsidRPr="009A0C01">
        <w:rPr>
          <w:rFonts w:asciiTheme="minorHAnsi" w:hAnsiTheme="minorHAnsi" w:cstheme="minorHAnsi"/>
        </w:rPr>
        <w:t>del servizio</w:t>
      </w:r>
      <w:r>
        <w:rPr>
          <w:rFonts w:asciiTheme="minorHAnsi" w:hAnsiTheme="minorHAnsi" w:cstheme="minorHAnsi"/>
        </w:rPr>
        <w:t>.</w:t>
      </w:r>
    </w:p>
    <w:p w:rsidR="00793103" w:rsidRPr="009A0C01" w:rsidRDefault="00793103" w:rsidP="00793103">
      <w:pPr>
        <w:widowControl/>
        <w:autoSpaceDE/>
        <w:autoSpaceDN/>
        <w:ind w:right="232"/>
        <w:jc w:val="both"/>
        <w:rPr>
          <w:rFonts w:asciiTheme="minorHAnsi" w:hAnsiTheme="minorHAnsi"/>
        </w:rPr>
      </w:pPr>
    </w:p>
    <w:p w:rsidR="00793103" w:rsidRPr="009A0C01" w:rsidRDefault="00CC0CD2" w:rsidP="00793103">
      <w:pPr>
        <w:pStyle w:val="Titolo1"/>
        <w:rPr>
          <w:spacing w:val="0"/>
        </w:rPr>
      </w:pPr>
      <w:bookmarkStart w:id="1" w:name="_Toc19164809"/>
      <w:r>
        <w:rPr>
          <w:spacing w:val="0"/>
        </w:rPr>
        <w:t xml:space="preserve">I - </w:t>
      </w:r>
      <w:r w:rsidR="00793103" w:rsidRPr="009A0C01">
        <w:rPr>
          <w:spacing w:val="0"/>
        </w:rPr>
        <w:t>Relazione tecnico illustrativa con riferimento al contesto in cui è inserito il servizio</w:t>
      </w:r>
      <w:bookmarkEnd w:id="1"/>
    </w:p>
    <w:p w:rsidR="00793103" w:rsidRPr="009A0C01" w:rsidRDefault="00793103" w:rsidP="00793103">
      <w:pPr>
        <w:widowControl/>
        <w:autoSpaceDE/>
        <w:autoSpaceDN/>
        <w:ind w:right="232"/>
        <w:jc w:val="both"/>
        <w:rPr>
          <w:rFonts w:asciiTheme="minorHAnsi" w:hAnsiTheme="minorHAnsi"/>
        </w:rPr>
      </w:pPr>
    </w:p>
    <w:p w:rsidR="00793103" w:rsidRPr="009A0C01" w:rsidRDefault="00793103" w:rsidP="00793103">
      <w:pPr>
        <w:pStyle w:val="Titolo2"/>
        <w:rPr>
          <w:rFonts w:cstheme="minorHAnsi"/>
          <w:spacing w:val="0"/>
          <w:sz w:val="20"/>
          <w:szCs w:val="20"/>
        </w:rPr>
      </w:pPr>
      <w:bookmarkStart w:id="2" w:name="_Toc19164810"/>
      <w:r w:rsidRPr="009A0C01">
        <w:rPr>
          <w:rFonts w:cstheme="minorHAnsi"/>
          <w:spacing w:val="0"/>
          <w:sz w:val="20"/>
          <w:szCs w:val="20"/>
        </w:rPr>
        <w:t>Quadro normativo</w:t>
      </w:r>
      <w:bookmarkEnd w:id="2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BB3A70" w:rsidRDefault="000A2D5C" w:rsidP="00BB3A70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indirizzi generali di pubblicazione </w:t>
      </w:r>
      <w:r w:rsidR="00BB3A70">
        <w:rPr>
          <w:rFonts w:asciiTheme="minorHAnsi" w:hAnsiTheme="minorHAnsi"/>
        </w:rPr>
        <w:t>a</w:t>
      </w:r>
      <w:r w:rsidR="00BB3A70" w:rsidRPr="00BB3A70">
        <w:rPr>
          <w:rFonts w:asciiTheme="minorHAnsi" w:hAnsiTheme="minorHAnsi"/>
        </w:rPr>
        <w:t xml:space="preserve">l fine di adempiere agli obblighi di legge in materia di trasparenza e conoscibilità delle procedure di acquisto per importi superiori </w:t>
      </w:r>
      <w:r w:rsidR="00BB3A70" w:rsidRPr="009A0C01">
        <w:rPr>
          <w:rFonts w:asciiTheme="minorHAnsi" w:hAnsiTheme="minorHAnsi"/>
        </w:rPr>
        <w:t>alle soglie di cui all'art. 35, commi 1 e 2, del Codice</w:t>
      </w:r>
      <w:r w:rsidR="00BB3A70">
        <w:rPr>
          <w:rFonts w:asciiTheme="minorHAnsi" w:hAnsiTheme="minorHAnsi"/>
        </w:rPr>
        <w:t xml:space="preserve"> sono disciplinati dagli </w:t>
      </w:r>
      <w:r w:rsidR="007D5341" w:rsidRPr="009A0C01">
        <w:rPr>
          <w:rFonts w:asciiTheme="minorHAnsi" w:hAnsiTheme="minorHAnsi"/>
        </w:rPr>
        <w:t>artt.</w:t>
      </w:r>
      <w:r w:rsidR="00793103" w:rsidRPr="009A0C01">
        <w:rPr>
          <w:rFonts w:asciiTheme="minorHAnsi" w:hAnsiTheme="minorHAnsi"/>
        </w:rPr>
        <w:t xml:space="preserve"> </w:t>
      </w:r>
      <w:r w:rsidR="007D5341" w:rsidRPr="009A0C01">
        <w:rPr>
          <w:rFonts w:asciiTheme="minorHAnsi" w:hAnsiTheme="minorHAnsi"/>
        </w:rPr>
        <w:t xml:space="preserve">72 e 73 del </w:t>
      </w:r>
      <w:r w:rsidR="00793103" w:rsidRPr="009A0C01">
        <w:rPr>
          <w:rFonts w:asciiTheme="minorHAnsi" w:hAnsiTheme="minorHAnsi"/>
        </w:rPr>
        <w:t>Codice</w:t>
      </w:r>
      <w:r w:rsidR="00BB3A70">
        <w:rPr>
          <w:rFonts w:asciiTheme="minorHAnsi" w:hAnsiTheme="minorHAnsi"/>
        </w:rPr>
        <w:t xml:space="preserve">, nonché dalle disposizioni di cui all’art. 216, </w:t>
      </w:r>
      <w:r w:rsidR="00BB3A70" w:rsidRPr="00BB3A70">
        <w:rPr>
          <w:rFonts w:asciiTheme="minorHAnsi" w:hAnsiTheme="minorHAnsi"/>
        </w:rPr>
        <w:t xml:space="preserve">comma 11 del </w:t>
      </w:r>
      <w:r w:rsidR="00BB3A70">
        <w:rPr>
          <w:rFonts w:asciiTheme="minorHAnsi" w:hAnsiTheme="minorHAnsi"/>
        </w:rPr>
        <w:t xml:space="preserve">Codice </w:t>
      </w:r>
      <w:r w:rsidR="00BB3A70" w:rsidRPr="00BB3A70">
        <w:rPr>
          <w:rFonts w:asciiTheme="minorHAnsi" w:hAnsiTheme="minorHAnsi"/>
        </w:rPr>
        <w:t>cos</w:t>
      </w:r>
      <w:r w:rsidR="00BB3A70">
        <w:rPr>
          <w:rFonts w:asciiTheme="minorHAnsi" w:hAnsiTheme="minorHAnsi"/>
        </w:rPr>
        <w:t xml:space="preserve">ì come modificato dall’art. 9, comma 4, del D.L. N° 244 </w:t>
      </w:r>
      <w:r w:rsidR="00BB3A70" w:rsidRPr="00BB3A70">
        <w:rPr>
          <w:rFonts w:asciiTheme="minorHAnsi" w:hAnsiTheme="minorHAnsi"/>
        </w:rPr>
        <w:t>del 30/12/2016.</w:t>
      </w:r>
    </w:p>
    <w:p w:rsidR="00BB3A70" w:rsidRDefault="00BB3A70" w:rsidP="00BB3A70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BB3A70" w:rsidRDefault="006B5FFC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</w:t>
      </w:r>
      <w:r w:rsidR="00BB3A70">
        <w:rPr>
          <w:rFonts w:asciiTheme="minorHAnsi" w:hAnsiTheme="minorHAnsi"/>
        </w:rPr>
        <w:t xml:space="preserve"> richiama a tale proposito il </w:t>
      </w:r>
      <w:r w:rsidR="00793103" w:rsidRPr="009A0C01">
        <w:rPr>
          <w:rFonts w:asciiTheme="minorHAnsi" w:hAnsiTheme="minorHAnsi"/>
        </w:rPr>
        <w:t>decreto del Ministero delle Infrastrutture e dei T</w:t>
      </w:r>
      <w:r w:rsidR="007D5341" w:rsidRPr="009A0C01">
        <w:rPr>
          <w:rFonts w:asciiTheme="minorHAnsi" w:hAnsiTheme="minorHAnsi"/>
        </w:rPr>
        <w:t xml:space="preserve">rasporti del </w:t>
      </w:r>
      <w:r w:rsidR="00793103" w:rsidRPr="009A0C01">
        <w:rPr>
          <w:rFonts w:asciiTheme="minorHAnsi" w:hAnsiTheme="minorHAnsi"/>
        </w:rPr>
        <w:t>2 dicembre 2016 (Gazzetta Ufficiale – Serie Generale – N° 20 del 25 gennaio 2017)</w:t>
      </w:r>
      <w:r w:rsidR="00BB3A70">
        <w:rPr>
          <w:rFonts w:asciiTheme="minorHAnsi" w:hAnsiTheme="minorHAnsi"/>
        </w:rPr>
        <w:t xml:space="preserve"> – emanato ex. art. 73, comma 4, del Codice – il quale prevede che, fino alla data di funzionamento della piattaforma ANAC:</w:t>
      </w:r>
    </w:p>
    <w:p w:rsidR="004A5BD4" w:rsidRDefault="004A5BD4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BB3A70" w:rsidRPr="00BB3A70" w:rsidRDefault="00BB3A70" w:rsidP="00BB3A70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Art.2, comma 6: </w:t>
      </w:r>
      <w:r w:rsidRPr="00BB3A70">
        <w:rPr>
          <w:rFonts w:asciiTheme="minorHAnsi" w:hAnsiTheme="minorHAnsi"/>
          <w:i/>
        </w:rPr>
        <w:t>…omissis…</w:t>
      </w:r>
      <w:r>
        <w:rPr>
          <w:rFonts w:asciiTheme="minorHAnsi" w:hAnsiTheme="minorHAnsi"/>
        </w:rPr>
        <w:t xml:space="preserve"> </w:t>
      </w:r>
      <w:r w:rsidR="004A5BD4">
        <w:rPr>
          <w:rFonts w:asciiTheme="minorHAnsi" w:hAnsiTheme="minorHAnsi"/>
        </w:rPr>
        <w:t>g</w:t>
      </w:r>
      <w:r w:rsidRPr="00BB3A70">
        <w:rPr>
          <w:rFonts w:asciiTheme="minorHAnsi" w:hAnsiTheme="minorHAnsi"/>
        </w:rPr>
        <w:t>li avvisi e i bandi di gara, sono pubblicati con i medesimi termini di cui al comma 1 nella</w:t>
      </w:r>
      <w:r>
        <w:rPr>
          <w:rFonts w:asciiTheme="minorHAnsi" w:hAnsiTheme="minorHAnsi"/>
        </w:rPr>
        <w:t xml:space="preserve"> </w:t>
      </w:r>
      <w:r w:rsidRPr="00BB3A70">
        <w:rPr>
          <w:rFonts w:asciiTheme="minorHAnsi" w:hAnsiTheme="minorHAnsi"/>
        </w:rPr>
        <w:t xml:space="preserve">Gazzetta Ufficiale della Repubblica italiana, serie speciale </w:t>
      </w:r>
      <w:r w:rsidRPr="00BB3A70">
        <w:rPr>
          <w:rFonts w:asciiTheme="minorHAnsi" w:hAnsiTheme="minorHAnsi"/>
          <w:i/>
        </w:rPr>
        <w:t>…omissis…</w:t>
      </w:r>
      <w:r w:rsidR="004A5BD4">
        <w:rPr>
          <w:rFonts w:asciiTheme="minorHAnsi" w:hAnsiTheme="minorHAnsi"/>
        </w:rPr>
        <w:t>;</w:t>
      </w:r>
    </w:p>
    <w:p w:rsidR="00BB3A70" w:rsidRPr="00BB3A70" w:rsidRDefault="004A5BD4" w:rsidP="00BB3A70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3, comma 1: </w:t>
      </w:r>
      <w:r w:rsidR="00BB3A70">
        <w:rPr>
          <w:rFonts w:asciiTheme="minorHAnsi" w:hAnsiTheme="minorHAnsi"/>
        </w:rPr>
        <w:t xml:space="preserve">A </w:t>
      </w:r>
      <w:r w:rsidR="00BB3A70" w:rsidRPr="00BB3A70">
        <w:rPr>
          <w:rFonts w:asciiTheme="minorHAnsi" w:hAnsiTheme="minorHAnsi"/>
        </w:rPr>
        <w:t>decorrere dal 1° gennaio 2017, al fine di garantire adeguati livelli di trasparenza e di</w:t>
      </w:r>
      <w:r w:rsidR="00BB3A70">
        <w:rPr>
          <w:rFonts w:asciiTheme="minorHAnsi" w:hAnsiTheme="minorHAnsi"/>
        </w:rPr>
        <w:t xml:space="preserve"> </w:t>
      </w:r>
      <w:r w:rsidR="00BB3A70" w:rsidRPr="00BB3A70">
        <w:rPr>
          <w:rFonts w:asciiTheme="minorHAnsi" w:hAnsiTheme="minorHAnsi"/>
        </w:rPr>
        <w:t>conoscibilità delle procedure di gara e di favorire la concorrenza attraverso la più ampia</w:t>
      </w:r>
      <w:r w:rsidR="00BB3A70">
        <w:rPr>
          <w:rFonts w:asciiTheme="minorHAnsi" w:hAnsiTheme="minorHAnsi"/>
        </w:rPr>
        <w:t xml:space="preserve"> </w:t>
      </w:r>
      <w:r w:rsidR="00BB3A70" w:rsidRPr="00BB3A70">
        <w:rPr>
          <w:rFonts w:asciiTheme="minorHAnsi" w:hAnsiTheme="minorHAnsi"/>
        </w:rPr>
        <w:t>partecipazione delle imprese interessate, anche nelle realtà territoriali locali, la pubblicazione degli</w:t>
      </w:r>
      <w:r w:rsidR="00BB3A70">
        <w:rPr>
          <w:rFonts w:asciiTheme="minorHAnsi" w:hAnsiTheme="minorHAnsi"/>
        </w:rPr>
        <w:t xml:space="preserve"> </w:t>
      </w:r>
      <w:r w:rsidR="00BB3A70" w:rsidRPr="00BB3A70">
        <w:rPr>
          <w:rFonts w:asciiTheme="minorHAnsi" w:hAnsiTheme="minorHAnsi"/>
        </w:rPr>
        <w:t>avvisi e dei bandi, nonché degli avvisi relativi agli appalti aggiudicati, è altresì effettuata per</w:t>
      </w:r>
      <w:r w:rsidR="00BB3A70">
        <w:rPr>
          <w:rFonts w:asciiTheme="minorHAnsi" w:hAnsiTheme="minorHAnsi"/>
        </w:rPr>
        <w:t xml:space="preserve"> </w:t>
      </w:r>
      <w:r w:rsidR="00BB3A70" w:rsidRPr="00BB3A70">
        <w:rPr>
          <w:rFonts w:asciiTheme="minorHAnsi" w:hAnsiTheme="minorHAnsi"/>
        </w:rPr>
        <w:t xml:space="preserve">estratto dopo dodici giorni dalla trasmissione alla Gazzetta Ufficiale delle Comunità europee, </w:t>
      </w:r>
      <w:r w:rsidR="00BB3A70" w:rsidRPr="00BB3A70">
        <w:rPr>
          <w:rFonts w:asciiTheme="minorHAnsi" w:hAnsiTheme="minorHAnsi"/>
          <w:i/>
        </w:rPr>
        <w:t>…omissis...</w:t>
      </w:r>
      <w:r w:rsidR="00BB3A70">
        <w:rPr>
          <w:rFonts w:asciiTheme="minorHAnsi" w:hAnsiTheme="minorHAnsi"/>
        </w:rPr>
        <w:t>;</w:t>
      </w:r>
    </w:p>
    <w:p w:rsidR="00BB3A70" w:rsidRPr="004A5BD4" w:rsidRDefault="004A5BD4" w:rsidP="004A5BD4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Art.3, comma 1, lettera </w:t>
      </w:r>
      <w:r w:rsidR="00BB3A70" w:rsidRPr="00BB3A70">
        <w:rPr>
          <w:rFonts w:asciiTheme="minorHAnsi" w:hAnsiTheme="minorHAnsi"/>
        </w:rPr>
        <w:t>b)</w:t>
      </w:r>
      <w:r>
        <w:rPr>
          <w:rFonts w:asciiTheme="minorHAnsi" w:hAnsiTheme="minorHAnsi"/>
        </w:rPr>
        <w:t>:</w:t>
      </w:r>
      <w:r w:rsidR="00BB3A70" w:rsidRPr="00BB3A70">
        <w:rPr>
          <w:rFonts w:asciiTheme="minorHAnsi" w:hAnsiTheme="minorHAnsi"/>
        </w:rPr>
        <w:t xml:space="preserve"> per gli avvisi ed i bandi relativi ad appalti pubblici di lavori, servizi e forniture di importo</w:t>
      </w:r>
      <w:r>
        <w:rPr>
          <w:rFonts w:asciiTheme="minorHAnsi" w:hAnsiTheme="minorHAnsi"/>
        </w:rPr>
        <w:t xml:space="preserve"> </w:t>
      </w:r>
      <w:r w:rsidR="00BB3A70" w:rsidRPr="004A5BD4">
        <w:rPr>
          <w:rFonts w:asciiTheme="minorHAnsi" w:hAnsiTheme="minorHAnsi"/>
        </w:rPr>
        <w:t>superiore alle soglie di cui all'art. 35, commi 1 e 2, del codice, per estratto su almeno due dei</w:t>
      </w:r>
      <w:r>
        <w:rPr>
          <w:rFonts w:asciiTheme="minorHAnsi" w:hAnsiTheme="minorHAnsi"/>
        </w:rPr>
        <w:t xml:space="preserve"> </w:t>
      </w:r>
      <w:r w:rsidR="00BB3A70" w:rsidRPr="004A5BD4">
        <w:rPr>
          <w:rFonts w:asciiTheme="minorHAnsi" w:hAnsiTheme="minorHAnsi"/>
        </w:rPr>
        <w:t>principali quotidiani a diffusione nazionale e su almeno due a maggiore diffusione locale nel luogo</w:t>
      </w:r>
      <w:r>
        <w:rPr>
          <w:rFonts w:asciiTheme="minorHAnsi" w:hAnsiTheme="minorHAnsi"/>
        </w:rPr>
        <w:t xml:space="preserve"> </w:t>
      </w:r>
      <w:r w:rsidR="00BB3A70" w:rsidRPr="004A5BD4">
        <w:rPr>
          <w:rFonts w:asciiTheme="minorHAnsi" w:hAnsiTheme="minorHAnsi"/>
        </w:rPr>
        <w:t>ove si eseguono i contratti.</w:t>
      </w:r>
    </w:p>
    <w:p w:rsidR="00793103" w:rsidRPr="009A0C01" w:rsidRDefault="00793103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93103" w:rsidRPr="009A0C01" w:rsidRDefault="00793103" w:rsidP="00793103">
      <w:pPr>
        <w:pStyle w:val="Titolo2"/>
        <w:rPr>
          <w:rFonts w:cstheme="minorHAnsi"/>
          <w:spacing w:val="0"/>
          <w:sz w:val="20"/>
          <w:szCs w:val="20"/>
        </w:rPr>
      </w:pPr>
      <w:bookmarkStart w:id="3" w:name="_Toc19164811"/>
      <w:r w:rsidRPr="009A0C01">
        <w:rPr>
          <w:rFonts w:cstheme="minorHAnsi"/>
          <w:spacing w:val="0"/>
          <w:sz w:val="20"/>
          <w:szCs w:val="20"/>
        </w:rPr>
        <w:t>Contesto di riferimento</w:t>
      </w:r>
      <w:bookmarkEnd w:id="3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Default="009A0C01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lastRenderedPageBreak/>
        <w:t xml:space="preserve">La Stazione appaltante </w:t>
      </w:r>
      <w:r w:rsidR="002F6579" w:rsidRPr="002F6579">
        <w:rPr>
          <w:rFonts w:asciiTheme="minorHAnsi" w:hAnsiTheme="minorHAnsi"/>
        </w:rPr>
        <w:t>Dipartimento</w:t>
      </w:r>
      <w:r w:rsidR="00E92822">
        <w:rPr>
          <w:rFonts w:asciiTheme="minorHAnsi" w:hAnsiTheme="minorHAnsi"/>
        </w:rPr>
        <w:t xml:space="preserve"> di</w:t>
      </w:r>
      <w:r w:rsidR="002F6579" w:rsidRPr="002F6579">
        <w:rPr>
          <w:rFonts w:asciiTheme="minorHAnsi" w:hAnsiTheme="minorHAnsi"/>
        </w:rPr>
        <w:t xml:space="preserve"> Scienze </w:t>
      </w:r>
      <w:r w:rsidR="00E92822">
        <w:rPr>
          <w:rFonts w:asciiTheme="minorHAnsi" w:hAnsiTheme="minorHAnsi"/>
        </w:rPr>
        <w:t>Biomediche</w:t>
      </w:r>
      <w:r w:rsidR="002F6579" w:rsidRPr="002F6579">
        <w:rPr>
          <w:rFonts w:asciiTheme="minorHAnsi" w:hAnsiTheme="minorHAnsi"/>
        </w:rPr>
        <w:t xml:space="preserve"> </w:t>
      </w:r>
      <w:r w:rsidRPr="009A0C01">
        <w:rPr>
          <w:rFonts w:asciiTheme="minorHAnsi" w:hAnsiTheme="minorHAnsi"/>
        </w:rPr>
        <w:t>del Consiglio Nazionale delle Ricerche</w:t>
      </w:r>
      <w:r>
        <w:rPr>
          <w:rFonts w:asciiTheme="minorHAnsi" w:hAnsiTheme="minorHAnsi"/>
        </w:rPr>
        <w:t xml:space="preserve"> ha sede in Roma, presso la sede del Consiglio Nazionale delle Ricerche in Piazzale Aldo Moro, 7.</w:t>
      </w:r>
    </w:p>
    <w:p w:rsidR="009A0C01" w:rsidRDefault="009A0C01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9A0C01" w:rsidRDefault="009A0C01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Nell’ambito del </w:t>
      </w:r>
      <w:r w:rsidRPr="009A0C01">
        <w:rPr>
          <w:rFonts w:asciiTheme="minorHAnsi" w:hAnsiTheme="minorHAnsi"/>
        </w:rPr>
        <w:t>Programma Operativo Nazionale Ricerca e Innovazione 2014-2020</w:t>
      </w:r>
      <w:r>
        <w:rPr>
          <w:rFonts w:asciiTheme="minorHAnsi" w:hAnsiTheme="minorHAnsi"/>
        </w:rPr>
        <w:t xml:space="preserve"> (PON RI), Asse II, Azione II.1 il Consiglio Nazionale delle Ricerche è titolare di finanziamenti per il </w:t>
      </w:r>
      <w:r w:rsidRPr="009A0C01">
        <w:rPr>
          <w:rFonts w:asciiTheme="minorHAnsi" w:hAnsiTheme="minorHAnsi"/>
        </w:rPr>
        <w:t>potenziamento delle infrastrutture</w:t>
      </w:r>
      <w:r>
        <w:rPr>
          <w:rFonts w:asciiTheme="minorHAnsi" w:hAnsiTheme="minorHAnsi"/>
        </w:rPr>
        <w:t xml:space="preserve"> di ricerca, finalizzate all</w:t>
      </w:r>
      <w:r w:rsidRPr="009A0C01">
        <w:rPr>
          <w:rFonts w:asciiTheme="minorHAnsi" w:hAnsiTheme="minorHAnsi"/>
        </w:rPr>
        <w:t xml:space="preserve">'implementazione di progetti </w:t>
      </w:r>
      <w:r>
        <w:rPr>
          <w:rFonts w:asciiTheme="minorHAnsi" w:hAnsiTheme="minorHAnsi"/>
        </w:rPr>
        <w:t>negli</w:t>
      </w:r>
      <w:r w:rsidRPr="009A0C01">
        <w:rPr>
          <w:rFonts w:asciiTheme="minorHAnsi" w:hAnsiTheme="minorHAnsi"/>
        </w:rPr>
        <w:t xml:space="preserve"> ambiti dello </w:t>
      </w:r>
      <w:r>
        <w:rPr>
          <w:rFonts w:asciiTheme="minorHAnsi" w:hAnsiTheme="minorHAnsi"/>
        </w:rPr>
        <w:t>“</w:t>
      </w:r>
      <w:proofErr w:type="spellStart"/>
      <w:r w:rsidRPr="009A0C01">
        <w:rPr>
          <w:rFonts w:asciiTheme="minorHAnsi" w:hAnsiTheme="minorHAnsi"/>
        </w:rPr>
        <w:t>European</w:t>
      </w:r>
      <w:proofErr w:type="spellEnd"/>
      <w:r w:rsidRPr="009A0C01">
        <w:rPr>
          <w:rFonts w:asciiTheme="minorHAnsi" w:hAnsiTheme="minorHAnsi"/>
        </w:rPr>
        <w:t xml:space="preserve"> </w:t>
      </w:r>
      <w:proofErr w:type="spellStart"/>
      <w:r w:rsidRPr="009A0C01">
        <w:rPr>
          <w:rFonts w:asciiTheme="minorHAnsi" w:hAnsiTheme="minorHAnsi"/>
        </w:rPr>
        <w:t>Strategy</w:t>
      </w:r>
      <w:proofErr w:type="spellEnd"/>
      <w:r w:rsidRPr="009A0C01">
        <w:rPr>
          <w:rFonts w:asciiTheme="minorHAnsi" w:hAnsiTheme="minorHAnsi"/>
        </w:rPr>
        <w:t xml:space="preserve"> Forum on </w:t>
      </w:r>
      <w:proofErr w:type="spellStart"/>
      <w:r w:rsidRPr="009A0C01">
        <w:rPr>
          <w:rFonts w:asciiTheme="minorHAnsi" w:hAnsiTheme="minorHAnsi"/>
        </w:rPr>
        <w:t>Research</w:t>
      </w:r>
      <w:proofErr w:type="spellEnd"/>
      <w:r w:rsidRPr="009A0C01">
        <w:rPr>
          <w:rFonts w:asciiTheme="minorHAnsi" w:hAnsiTheme="minorHAnsi"/>
        </w:rPr>
        <w:t xml:space="preserve"> </w:t>
      </w:r>
      <w:proofErr w:type="spellStart"/>
      <w:r w:rsidRPr="009A0C01">
        <w:rPr>
          <w:rFonts w:asciiTheme="minorHAnsi" w:hAnsiTheme="minorHAnsi"/>
        </w:rPr>
        <w:t>Infrastructures</w:t>
      </w:r>
      <w:proofErr w:type="spellEnd"/>
      <w:r>
        <w:rPr>
          <w:rFonts w:asciiTheme="minorHAnsi" w:hAnsiTheme="minorHAnsi"/>
        </w:rPr>
        <w:t xml:space="preserve">” (ESFRI), dei quali </w:t>
      </w:r>
      <w:r w:rsidR="00E92822">
        <w:rPr>
          <w:rFonts w:asciiTheme="minorHAnsi" w:hAnsiTheme="minorHAnsi"/>
        </w:rPr>
        <w:t>– il seguente -</w:t>
      </w:r>
      <w:r>
        <w:rPr>
          <w:rFonts w:asciiTheme="minorHAnsi" w:hAnsiTheme="minorHAnsi"/>
        </w:rPr>
        <w:t xml:space="preserve"> </w:t>
      </w:r>
      <w:r w:rsidR="00E92822">
        <w:rPr>
          <w:rFonts w:asciiTheme="minorHAnsi" w:hAnsiTheme="minorHAnsi"/>
        </w:rPr>
        <w:t>viene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gestiti</w:t>
      </w:r>
      <w:r w:rsidR="00E92822">
        <w:rPr>
          <w:rFonts w:asciiTheme="minorHAnsi" w:hAnsiTheme="minorHAnsi"/>
        </w:rPr>
        <w:t>o</w:t>
      </w:r>
      <w:proofErr w:type="spellEnd"/>
      <w:r w:rsidR="00E928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sotto la diretta responsabilità del </w:t>
      </w:r>
      <w:r w:rsidR="00E92822">
        <w:rPr>
          <w:rFonts w:asciiTheme="minorHAnsi" w:hAnsiTheme="minorHAnsi"/>
        </w:rPr>
        <w:t>CNR-DSB</w:t>
      </w:r>
      <w:r>
        <w:rPr>
          <w:rFonts w:asciiTheme="minorHAnsi" w:hAnsiTheme="minorHAnsi"/>
        </w:rPr>
        <w:t>:</w:t>
      </w:r>
    </w:p>
    <w:p w:rsidR="009A0C01" w:rsidRPr="000742D9" w:rsidRDefault="009A0C01" w:rsidP="001D71DA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Progetto di potenziamento dell’infrastruttura di ricerca denominata </w:t>
      </w:r>
      <w:r w:rsidR="001D71DA" w:rsidRPr="001D71DA">
        <w:rPr>
          <w:rFonts w:asciiTheme="minorHAnsi" w:hAnsiTheme="minorHAnsi"/>
        </w:rPr>
        <w:t>“</w:t>
      </w:r>
      <w:proofErr w:type="spellStart"/>
      <w:r w:rsidR="001D71DA" w:rsidRPr="001D71DA">
        <w:rPr>
          <w:rFonts w:asciiTheme="minorHAnsi" w:hAnsiTheme="minorHAnsi"/>
        </w:rPr>
        <w:t>EuBI</w:t>
      </w:r>
      <w:proofErr w:type="spellEnd"/>
      <w:r w:rsidR="001D71DA" w:rsidRPr="001D71DA">
        <w:rPr>
          <w:rFonts w:asciiTheme="minorHAnsi" w:hAnsiTheme="minorHAnsi"/>
        </w:rPr>
        <w:t xml:space="preserve"> - The </w:t>
      </w:r>
      <w:proofErr w:type="spellStart"/>
      <w:r w:rsidR="001D71DA" w:rsidRPr="001D71DA">
        <w:rPr>
          <w:rFonts w:asciiTheme="minorHAnsi" w:hAnsiTheme="minorHAnsi"/>
        </w:rPr>
        <w:t>European</w:t>
      </w:r>
      <w:proofErr w:type="spellEnd"/>
      <w:r w:rsidR="001D71DA" w:rsidRPr="001D71DA">
        <w:rPr>
          <w:rFonts w:asciiTheme="minorHAnsi" w:hAnsiTheme="minorHAnsi"/>
        </w:rPr>
        <w:t xml:space="preserve"> </w:t>
      </w:r>
      <w:proofErr w:type="spellStart"/>
      <w:r w:rsidR="001D71DA" w:rsidRPr="001D71DA">
        <w:rPr>
          <w:rFonts w:asciiTheme="minorHAnsi" w:hAnsiTheme="minorHAnsi"/>
        </w:rPr>
        <w:t>Research</w:t>
      </w:r>
      <w:proofErr w:type="spellEnd"/>
      <w:r w:rsidR="001D71DA" w:rsidRPr="001D71DA">
        <w:rPr>
          <w:rFonts w:asciiTheme="minorHAnsi" w:hAnsiTheme="minorHAnsi"/>
        </w:rPr>
        <w:t xml:space="preserve"> </w:t>
      </w:r>
      <w:proofErr w:type="spellStart"/>
      <w:r w:rsidR="001D71DA" w:rsidRPr="001D71DA">
        <w:rPr>
          <w:rFonts w:asciiTheme="minorHAnsi" w:hAnsiTheme="minorHAnsi"/>
        </w:rPr>
        <w:t>Infrastructure</w:t>
      </w:r>
      <w:proofErr w:type="spellEnd"/>
      <w:r w:rsidR="001D71DA" w:rsidRPr="001D71DA">
        <w:rPr>
          <w:rFonts w:asciiTheme="minorHAnsi" w:hAnsiTheme="minorHAnsi"/>
        </w:rPr>
        <w:t xml:space="preserve"> for </w:t>
      </w:r>
      <w:proofErr w:type="spellStart"/>
      <w:r w:rsidR="001D71DA" w:rsidRPr="001D71DA">
        <w:rPr>
          <w:rFonts w:asciiTheme="minorHAnsi" w:hAnsiTheme="minorHAnsi"/>
        </w:rPr>
        <w:t>Imaging</w:t>
      </w:r>
      <w:proofErr w:type="spellEnd"/>
      <w:r w:rsidR="001D71DA" w:rsidRPr="001D71DA">
        <w:rPr>
          <w:rFonts w:asciiTheme="minorHAnsi" w:hAnsiTheme="minorHAnsi"/>
        </w:rPr>
        <w:t xml:space="preserve"> Technologies in </w:t>
      </w:r>
      <w:proofErr w:type="spellStart"/>
      <w:r w:rsidR="001D71DA" w:rsidRPr="001D71DA">
        <w:rPr>
          <w:rFonts w:asciiTheme="minorHAnsi" w:hAnsiTheme="minorHAnsi"/>
        </w:rPr>
        <w:t>Biological</w:t>
      </w:r>
      <w:proofErr w:type="spellEnd"/>
      <w:r w:rsidR="001D71DA" w:rsidRPr="001D71DA">
        <w:rPr>
          <w:rFonts w:asciiTheme="minorHAnsi" w:hAnsiTheme="minorHAnsi"/>
        </w:rPr>
        <w:t xml:space="preserve"> and </w:t>
      </w:r>
      <w:proofErr w:type="spellStart"/>
      <w:r w:rsidR="001D71DA" w:rsidRPr="001D71DA">
        <w:rPr>
          <w:rFonts w:asciiTheme="minorHAnsi" w:hAnsiTheme="minorHAnsi"/>
        </w:rPr>
        <w:t>Biomedical</w:t>
      </w:r>
      <w:proofErr w:type="spellEnd"/>
      <w:r w:rsidR="001D71DA" w:rsidRPr="001D71DA">
        <w:rPr>
          <w:rFonts w:asciiTheme="minorHAnsi" w:hAnsiTheme="minorHAnsi"/>
        </w:rPr>
        <w:t xml:space="preserve"> </w:t>
      </w:r>
      <w:proofErr w:type="spellStart"/>
      <w:r w:rsidR="001D71DA" w:rsidRPr="001D71DA">
        <w:rPr>
          <w:rFonts w:asciiTheme="minorHAnsi" w:hAnsiTheme="minorHAnsi"/>
        </w:rPr>
        <w:t>Sciences</w:t>
      </w:r>
      <w:proofErr w:type="spellEnd"/>
      <w:r w:rsidR="001D71DA" w:rsidRPr="001D71DA">
        <w:rPr>
          <w:rFonts w:asciiTheme="minorHAnsi" w:hAnsiTheme="minorHAnsi"/>
        </w:rPr>
        <w:t>”</w:t>
      </w:r>
      <w:r w:rsidR="000742D9" w:rsidRPr="000742D9">
        <w:rPr>
          <w:rFonts w:asciiTheme="minorHAnsi" w:hAnsiTheme="minorHAnsi"/>
        </w:rPr>
        <w:t>, dal titolo “</w:t>
      </w:r>
      <w:r w:rsidR="001D71DA" w:rsidRPr="001D71DA">
        <w:rPr>
          <w:rFonts w:asciiTheme="minorHAnsi" w:hAnsiTheme="minorHAnsi"/>
        </w:rPr>
        <w:t>IMPARA - IMAGING DALLE MOLECOLE ALLA PRECLINICA</w:t>
      </w:r>
      <w:r w:rsidR="000742D9" w:rsidRPr="000742D9">
        <w:rPr>
          <w:rFonts w:asciiTheme="minorHAnsi" w:hAnsiTheme="minorHAnsi"/>
        </w:rPr>
        <w:t>”</w:t>
      </w:r>
      <w:r w:rsidR="000742D9">
        <w:rPr>
          <w:rFonts w:asciiTheme="minorHAnsi" w:hAnsiTheme="minorHAnsi"/>
        </w:rPr>
        <w:t xml:space="preserve"> contrassegnato</w:t>
      </w:r>
      <w:r w:rsidR="000742D9" w:rsidRPr="000742D9">
        <w:rPr>
          <w:rFonts w:asciiTheme="minorHAnsi" w:hAnsiTheme="minorHAnsi"/>
        </w:rPr>
        <w:t xml:space="preserve"> dal c</w:t>
      </w:r>
      <w:r w:rsidR="001D71DA">
        <w:rPr>
          <w:rFonts w:asciiTheme="minorHAnsi" w:hAnsiTheme="minorHAnsi"/>
        </w:rPr>
        <w:t>odice identificativo PIR01_00023</w:t>
      </w:r>
      <w:r w:rsidRPr="000742D9">
        <w:rPr>
          <w:rFonts w:asciiTheme="minorHAnsi" w:hAnsiTheme="minorHAnsi"/>
        </w:rPr>
        <w:t>;</w:t>
      </w:r>
    </w:p>
    <w:p w:rsidR="009A0C01" w:rsidRPr="009A0C01" w:rsidRDefault="009A0C01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6578D7" w:rsidRDefault="006578D7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investimenti infrastrutturali sono collocati in maggioranza nelle regioni appartenenti all’Area di </w:t>
      </w:r>
      <w:r w:rsidRPr="00E82EFD">
        <w:rPr>
          <w:rFonts w:asciiTheme="minorHAnsi" w:hAnsiTheme="minorHAnsi"/>
        </w:rPr>
        <w:t xml:space="preserve">Programma (cfr. </w:t>
      </w:r>
      <w:r w:rsidR="00E82EFD" w:rsidRPr="00E82EFD">
        <w:rPr>
          <w:rFonts w:asciiTheme="minorHAnsi" w:hAnsiTheme="minorHAnsi"/>
        </w:rPr>
        <w:t xml:space="preserve">Avviso del Ministero dell’Istruzione dell’Università e della Ricerca - Dipartimento per la Formazione Superiore e per la Ricerca – </w:t>
      </w:r>
      <w:proofErr w:type="spellStart"/>
      <w:r w:rsidR="00E82EFD" w:rsidRPr="00E82EFD">
        <w:rPr>
          <w:rFonts w:asciiTheme="minorHAnsi" w:hAnsiTheme="minorHAnsi"/>
        </w:rPr>
        <w:t>Prot</w:t>
      </w:r>
      <w:proofErr w:type="spellEnd"/>
      <w:r w:rsidR="00E82EFD" w:rsidRPr="00E82EFD">
        <w:rPr>
          <w:rFonts w:asciiTheme="minorHAnsi" w:hAnsiTheme="minorHAnsi"/>
        </w:rPr>
        <w:t xml:space="preserve">. </w:t>
      </w:r>
      <w:proofErr w:type="gramStart"/>
      <w:r w:rsidR="00E82EFD" w:rsidRPr="00E82EFD">
        <w:rPr>
          <w:rFonts w:asciiTheme="minorHAnsi" w:hAnsiTheme="minorHAnsi"/>
        </w:rPr>
        <w:t>MIUR.AOODPFSR.REGISTRO</w:t>
      </w:r>
      <w:proofErr w:type="gramEnd"/>
      <w:r w:rsidR="00E82EFD" w:rsidRPr="00E82EFD">
        <w:rPr>
          <w:rFonts w:asciiTheme="minorHAnsi" w:hAnsiTheme="minorHAnsi"/>
        </w:rPr>
        <w:t xml:space="preserve"> DECRETI.0000424.28-02-2018</w:t>
      </w:r>
      <w:r w:rsidRPr="00E82EFD">
        <w:rPr>
          <w:rFonts w:asciiTheme="minorHAnsi" w:hAnsiTheme="minorHAnsi"/>
        </w:rPr>
        <w:t>) ossia le regioni in transizione (Abruzzo</w:t>
      </w:r>
      <w:r>
        <w:rPr>
          <w:rFonts w:asciiTheme="minorHAnsi" w:hAnsiTheme="minorHAnsi"/>
        </w:rPr>
        <w:t>, Molise e Sardegna) e le regioni meno sviluppate (Basilicata, Campania, Calabria, Puglia e Sicilia).</w:t>
      </w:r>
    </w:p>
    <w:p w:rsidR="006578D7" w:rsidRDefault="006578D7" w:rsidP="00793103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7D5341" w:rsidP="006578D7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Al fine di adempiere agli obblighi di legge in materia di trasparenza e conoscibilità delle procedure di acquisto per importi superiori alle soglie di rilevanza comunitaria, </w:t>
      </w:r>
      <w:r w:rsidR="006578D7">
        <w:rPr>
          <w:rFonts w:asciiTheme="minorHAnsi" w:hAnsiTheme="minorHAnsi"/>
        </w:rPr>
        <w:t>l’Amministrazione</w:t>
      </w:r>
      <w:r w:rsidRPr="009A0C01">
        <w:rPr>
          <w:rFonts w:asciiTheme="minorHAnsi" w:hAnsiTheme="minorHAnsi"/>
        </w:rPr>
        <w:t xml:space="preserve"> necessita </w:t>
      </w:r>
      <w:r w:rsidR="006578D7">
        <w:rPr>
          <w:rFonts w:asciiTheme="minorHAnsi" w:hAnsiTheme="minorHAnsi"/>
        </w:rPr>
        <w:t xml:space="preserve">quindi </w:t>
      </w:r>
      <w:r w:rsidRPr="009A0C01">
        <w:rPr>
          <w:rFonts w:asciiTheme="minorHAnsi" w:hAnsiTheme="minorHAnsi"/>
        </w:rPr>
        <w:t xml:space="preserve">di un servizio di pubblicazione dei bandi/avvisi delle gare d’appalto </w:t>
      </w:r>
      <w:r w:rsidR="004A5BD4">
        <w:rPr>
          <w:rFonts w:asciiTheme="minorHAnsi" w:hAnsiTheme="minorHAnsi"/>
        </w:rPr>
        <w:t xml:space="preserve">sulla Gazzetta Ufficiale della Repubblica italiana, </w:t>
      </w:r>
      <w:r w:rsidRPr="009A0C01">
        <w:rPr>
          <w:rFonts w:asciiTheme="minorHAnsi" w:hAnsiTheme="minorHAnsi"/>
        </w:rPr>
        <w:t>su almeno due quotidiani a diffusione nazionale e su almeno due quotidiani a diffusione locale</w:t>
      </w:r>
      <w:r w:rsidR="006578D7">
        <w:rPr>
          <w:rFonts w:asciiTheme="minorHAnsi" w:hAnsiTheme="minorHAnsi"/>
        </w:rPr>
        <w:t xml:space="preserve"> </w:t>
      </w:r>
      <w:r w:rsidRPr="009A0C01">
        <w:rPr>
          <w:rFonts w:asciiTheme="minorHAnsi" w:hAnsiTheme="minorHAnsi"/>
        </w:rPr>
        <w:t xml:space="preserve">che si riferiscano, per quanto riguarda l’ambito locale, al territorio </w:t>
      </w:r>
      <w:r w:rsidR="00783C6A">
        <w:rPr>
          <w:rFonts w:asciiTheme="minorHAnsi" w:hAnsiTheme="minorHAnsi"/>
        </w:rPr>
        <w:t>individuato al precedente capoverso</w:t>
      </w:r>
      <w:r w:rsidRPr="009A0C01">
        <w:rPr>
          <w:rFonts w:asciiTheme="minorHAnsi" w:hAnsiTheme="minorHAnsi"/>
        </w:rPr>
        <w:t>.</w:t>
      </w:r>
    </w:p>
    <w:p w:rsidR="00783C6A" w:rsidRDefault="00783C6A" w:rsidP="006578D7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83C6A" w:rsidRPr="009A0C01" w:rsidRDefault="00783C6A" w:rsidP="00783C6A">
      <w:pPr>
        <w:pStyle w:val="Titolo2"/>
        <w:rPr>
          <w:rFonts w:cstheme="minorHAnsi"/>
          <w:spacing w:val="0"/>
          <w:sz w:val="20"/>
          <w:szCs w:val="20"/>
        </w:rPr>
      </w:pPr>
      <w:bookmarkStart w:id="4" w:name="_Toc19164812"/>
      <w:r>
        <w:t>Obiettivi</w:t>
      </w:r>
      <w:bookmarkEnd w:id="4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Default="007D5341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Il servizio in affidamento ha lo scopo di </w:t>
      </w:r>
      <w:r w:rsidR="00783C6A">
        <w:rPr>
          <w:rFonts w:asciiTheme="minorHAnsi" w:hAnsiTheme="minorHAnsi"/>
        </w:rPr>
        <w:t>rendere più efficiente ed efficace l’azione amministrativa, riducendo sia i</w:t>
      </w:r>
      <w:r w:rsidRPr="009A0C01">
        <w:rPr>
          <w:rFonts w:asciiTheme="minorHAnsi" w:hAnsiTheme="minorHAnsi"/>
        </w:rPr>
        <w:t xml:space="preserve"> tempi </w:t>
      </w:r>
      <w:r w:rsidR="00783C6A">
        <w:rPr>
          <w:rFonts w:asciiTheme="minorHAnsi" w:hAnsiTheme="minorHAnsi"/>
        </w:rPr>
        <w:t>sia</w:t>
      </w:r>
      <w:r w:rsidRPr="009A0C01">
        <w:rPr>
          <w:rFonts w:asciiTheme="minorHAnsi" w:hAnsiTheme="minorHAnsi"/>
        </w:rPr>
        <w:t xml:space="preserve"> </w:t>
      </w:r>
      <w:r w:rsidR="00783C6A">
        <w:rPr>
          <w:rFonts w:asciiTheme="minorHAnsi" w:hAnsiTheme="minorHAnsi"/>
        </w:rPr>
        <w:t>i costi di pubblicazione grazie all’</w:t>
      </w:r>
      <w:r w:rsidRPr="009A0C01">
        <w:rPr>
          <w:rFonts w:asciiTheme="minorHAnsi" w:hAnsiTheme="minorHAnsi"/>
        </w:rPr>
        <w:t>assegna</w:t>
      </w:r>
      <w:r w:rsidR="00783C6A">
        <w:rPr>
          <w:rFonts w:asciiTheme="minorHAnsi" w:hAnsiTheme="minorHAnsi"/>
        </w:rPr>
        <w:t>zione del</w:t>
      </w:r>
      <w:r w:rsidRPr="009A0C01">
        <w:rPr>
          <w:rFonts w:asciiTheme="minorHAnsi" w:hAnsiTheme="minorHAnsi"/>
        </w:rPr>
        <w:t xml:space="preserve"> servizio </w:t>
      </w:r>
      <w:r w:rsidR="00783C6A">
        <w:rPr>
          <w:rFonts w:asciiTheme="minorHAnsi" w:hAnsiTheme="minorHAnsi"/>
        </w:rPr>
        <w:t xml:space="preserve">– anziché procedere con affidamenti singoli - </w:t>
      </w:r>
      <w:r w:rsidRPr="009A0C01">
        <w:rPr>
          <w:rFonts w:asciiTheme="minorHAnsi" w:hAnsiTheme="minorHAnsi"/>
        </w:rPr>
        <w:t>a un fornitore unico contrattualizzato con tariffazione predefinita.</w:t>
      </w:r>
    </w:p>
    <w:p w:rsidR="00783C6A" w:rsidRDefault="00783C6A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83C6A" w:rsidRPr="009A0C01" w:rsidRDefault="00783C6A" w:rsidP="00783C6A">
      <w:pPr>
        <w:pStyle w:val="Titolo2"/>
        <w:rPr>
          <w:rFonts w:cstheme="minorHAnsi"/>
          <w:spacing w:val="0"/>
          <w:sz w:val="20"/>
          <w:szCs w:val="20"/>
        </w:rPr>
      </w:pPr>
      <w:bookmarkStart w:id="5" w:name="_Toc19164813"/>
      <w:r>
        <w:t>Descrizione</w:t>
      </w:r>
      <w:bookmarkEnd w:id="5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783C6A" w:rsidRDefault="007D5341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783C6A">
        <w:rPr>
          <w:rFonts w:asciiTheme="minorHAnsi" w:hAnsiTheme="minorHAnsi"/>
        </w:rPr>
        <w:t xml:space="preserve">Il servizio prevede le seguenti attività, descritte </w:t>
      </w:r>
      <w:r w:rsidR="00783C6A">
        <w:rPr>
          <w:rFonts w:asciiTheme="minorHAnsi" w:hAnsiTheme="minorHAnsi"/>
        </w:rPr>
        <w:t>con maggiore dettaglio nel Capitolato tecnico:</w:t>
      </w:r>
    </w:p>
    <w:p w:rsidR="004A5BD4" w:rsidRPr="00F30051" w:rsidRDefault="00783C6A" w:rsidP="00F30051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</w:t>
      </w:r>
      <w:r w:rsidRPr="009A0C01">
        <w:rPr>
          <w:rFonts w:asciiTheme="minorHAnsi" w:hAnsiTheme="minorHAnsi" w:cstheme="minorHAnsi"/>
        </w:rPr>
        <w:t xml:space="preserve">redisposizione grafica ed editoriale dei testi, </w:t>
      </w:r>
      <w:r>
        <w:rPr>
          <w:rFonts w:asciiTheme="minorHAnsi" w:hAnsiTheme="minorHAnsi" w:cstheme="minorHAnsi"/>
        </w:rPr>
        <w:t xml:space="preserve">sulla base dei bandi/avvisi predisposti </w:t>
      </w:r>
      <w:r w:rsidR="00F30051">
        <w:rPr>
          <w:rFonts w:asciiTheme="minorHAnsi" w:hAnsiTheme="minorHAnsi" w:cstheme="minorHAnsi"/>
        </w:rPr>
        <w:t>dalla Stazione appaltante, nonché</w:t>
      </w:r>
      <w:r w:rsidR="00F30051">
        <w:rPr>
          <w:rFonts w:asciiTheme="minorHAnsi" w:hAnsiTheme="minorHAnsi"/>
        </w:rPr>
        <w:t xml:space="preserve"> </w:t>
      </w:r>
      <w:r w:rsidR="00F30051">
        <w:rPr>
          <w:rFonts w:asciiTheme="minorHAnsi" w:hAnsiTheme="minorHAnsi" w:cstheme="minorHAnsi"/>
        </w:rPr>
        <w:t>r</w:t>
      </w:r>
      <w:r w:rsidR="00F30051" w:rsidRPr="00F30051">
        <w:rPr>
          <w:rFonts w:asciiTheme="minorHAnsi" w:hAnsiTheme="minorHAnsi" w:cstheme="minorHAnsi"/>
        </w:rPr>
        <w:t>edazione ed invio del</w:t>
      </w:r>
      <w:r w:rsidR="00F30051">
        <w:rPr>
          <w:rFonts w:asciiTheme="minorHAnsi" w:hAnsiTheme="minorHAnsi" w:cstheme="minorHAnsi"/>
        </w:rPr>
        <w:t>le bozze e del</w:t>
      </w:r>
      <w:r w:rsidR="00F30051" w:rsidRPr="00F30051">
        <w:rPr>
          <w:rFonts w:asciiTheme="minorHAnsi" w:hAnsiTheme="minorHAnsi" w:cstheme="minorHAnsi"/>
        </w:rPr>
        <w:t xml:space="preserve"> preventivo</w:t>
      </w:r>
      <w:r w:rsidR="00F30051">
        <w:rPr>
          <w:rFonts w:asciiTheme="minorHAnsi" w:hAnsiTheme="minorHAnsi" w:cstheme="minorHAnsi"/>
        </w:rPr>
        <w:t xml:space="preserve"> </w:t>
      </w:r>
      <w:r w:rsidR="00F30051" w:rsidRPr="00F30051">
        <w:rPr>
          <w:rFonts w:asciiTheme="minorHAnsi" w:hAnsiTheme="minorHAnsi" w:cstheme="minorHAnsi"/>
        </w:rPr>
        <w:t>alla Stazione appaltante;</w:t>
      </w:r>
    </w:p>
    <w:p w:rsidR="00783C6A" w:rsidRPr="004A5BD4" w:rsidRDefault="00783C6A" w:rsidP="00783C6A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Prenotazione ed acquisto degli spazi necessari sulla Gazzetta Ufficiale della Repubblica Italiana, Serie Speciale;</w:t>
      </w:r>
    </w:p>
    <w:p w:rsidR="004A5BD4" w:rsidRPr="00783C6A" w:rsidRDefault="004A5BD4" w:rsidP="00783C6A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Pubblicazione dei bandi e degli avvisi sulla Gazzetta Ufficiale della Repubblica Italiana, Serie Speciale;</w:t>
      </w:r>
    </w:p>
    <w:p w:rsidR="004A5BD4" w:rsidRPr="004A5BD4" w:rsidRDefault="00783C6A" w:rsidP="004A5BD4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Prenotazione ed a</w:t>
      </w:r>
      <w:r w:rsidRPr="009A0C01">
        <w:rPr>
          <w:rFonts w:asciiTheme="minorHAnsi" w:hAnsiTheme="minorHAnsi" w:cstheme="minorHAnsi"/>
        </w:rPr>
        <w:t>cquisto degli spazi necessari</w:t>
      </w:r>
      <w:r>
        <w:rPr>
          <w:rFonts w:asciiTheme="minorHAnsi" w:hAnsiTheme="minorHAnsi" w:cstheme="minorHAnsi"/>
        </w:rPr>
        <w:t xml:space="preserve"> su</w:t>
      </w:r>
      <w:r w:rsidRPr="009A0C01">
        <w:rPr>
          <w:rFonts w:asciiTheme="minorHAnsi" w:hAnsiTheme="minorHAnsi" w:cstheme="minorHAnsi"/>
        </w:rPr>
        <w:t xml:space="preserve"> almeno due quotidiani cartacei a maggior diffusione nazionale e almeno due quotidiani cartacei a diffusio</w:t>
      </w:r>
      <w:r>
        <w:rPr>
          <w:rFonts w:asciiTheme="minorHAnsi" w:hAnsiTheme="minorHAnsi" w:cstheme="minorHAnsi"/>
        </w:rPr>
        <w:t>ne locale;</w:t>
      </w:r>
    </w:p>
    <w:p w:rsidR="00CA629A" w:rsidRDefault="00783C6A" w:rsidP="00783C6A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 w:bidi="ar-SA"/>
        </w:rPr>
        <w:t>P</w:t>
      </w:r>
      <w:r w:rsidR="007D5341" w:rsidRPr="00783C6A">
        <w:rPr>
          <w:rFonts w:asciiTheme="minorHAnsi" w:eastAsiaTheme="minorHAnsi" w:hAnsiTheme="minorHAnsi" w:cstheme="minorHAnsi"/>
          <w:lang w:eastAsia="en-US" w:bidi="ar-SA"/>
        </w:rPr>
        <w:t>ubblicazione</w:t>
      </w:r>
      <w:r w:rsidR="004A5BD4">
        <w:rPr>
          <w:rFonts w:asciiTheme="minorHAnsi" w:hAnsiTheme="minorHAnsi" w:cstheme="minorHAnsi"/>
        </w:rPr>
        <w:t xml:space="preserve"> degli estratti dei bandi e degli estratti degli </w:t>
      </w:r>
      <w:r w:rsidR="007D5341" w:rsidRPr="009A0C01">
        <w:rPr>
          <w:rFonts w:asciiTheme="minorHAnsi" w:hAnsiTheme="minorHAnsi" w:cstheme="minorHAnsi"/>
        </w:rPr>
        <w:t xml:space="preserve">avvisi </w:t>
      </w:r>
      <w:r>
        <w:rPr>
          <w:rFonts w:asciiTheme="minorHAnsi" w:hAnsiTheme="minorHAnsi" w:cstheme="minorHAnsi"/>
        </w:rPr>
        <w:t>sui quotidiani di cui al precedente punto</w:t>
      </w:r>
      <w:r w:rsidR="004A5BD4">
        <w:rPr>
          <w:rFonts w:asciiTheme="minorHAnsi" w:hAnsiTheme="minorHAnsi" w:cstheme="minorHAnsi"/>
        </w:rPr>
        <w:t>;</w:t>
      </w:r>
    </w:p>
    <w:p w:rsidR="004A5BD4" w:rsidRPr="009A0C01" w:rsidRDefault="00F30051" w:rsidP="00783C6A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Invio alla Stazione appaltante, entro </w:t>
      </w:r>
      <w:r w:rsidR="00750B31">
        <w:rPr>
          <w:rFonts w:asciiTheme="minorHAnsi" w:hAnsiTheme="minorHAnsi" w:cstheme="minorHAnsi"/>
        </w:rPr>
        <w:t>cinque</w:t>
      </w:r>
      <w:r>
        <w:rPr>
          <w:rFonts w:asciiTheme="minorHAnsi" w:hAnsiTheme="minorHAnsi" w:cstheme="minorHAnsi"/>
        </w:rPr>
        <w:t xml:space="preserve"> giorni lavorativi dalla pubblicazione, della copia informa</w:t>
      </w:r>
      <w:r w:rsidR="002F6579">
        <w:rPr>
          <w:rFonts w:asciiTheme="minorHAnsi" w:hAnsiTheme="minorHAnsi" w:cstheme="minorHAnsi"/>
        </w:rPr>
        <w:t>tica di ciascuna pubblicazione.</w:t>
      </w:r>
    </w:p>
    <w:p w:rsidR="00783C6A" w:rsidRDefault="00783C6A" w:rsidP="00652455">
      <w:pPr>
        <w:pStyle w:val="Corpotesto"/>
        <w:ind w:left="475" w:right="1226"/>
        <w:jc w:val="both"/>
        <w:rPr>
          <w:rFonts w:asciiTheme="minorHAnsi" w:hAnsiTheme="minorHAnsi" w:cstheme="minorHAnsi"/>
        </w:rPr>
      </w:pPr>
    </w:p>
    <w:p w:rsidR="00CA629A" w:rsidRDefault="007D5341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Le pubblicazioni potranno riguardare </w:t>
      </w:r>
      <w:r w:rsidR="00F30051">
        <w:rPr>
          <w:rFonts w:asciiTheme="minorHAnsi" w:hAnsiTheme="minorHAnsi"/>
        </w:rPr>
        <w:t>sia le</w:t>
      </w:r>
      <w:r w:rsidRPr="009A0C01">
        <w:rPr>
          <w:rFonts w:asciiTheme="minorHAnsi" w:hAnsiTheme="minorHAnsi"/>
        </w:rPr>
        <w:t xml:space="preserve"> tipologie </w:t>
      </w:r>
      <w:r w:rsidR="00F30051">
        <w:rPr>
          <w:rFonts w:asciiTheme="minorHAnsi" w:hAnsiTheme="minorHAnsi"/>
        </w:rPr>
        <w:t>sopra specificate sia</w:t>
      </w:r>
      <w:r w:rsidRPr="009A0C01">
        <w:rPr>
          <w:rFonts w:asciiTheme="minorHAnsi" w:hAnsiTheme="minorHAnsi"/>
        </w:rPr>
        <w:t xml:space="preserve"> tutti quegli atti e provvedimenti collegati alle procedure di gara di cui si potrà rendere necessaria la pubblicazione.</w:t>
      </w:r>
    </w:p>
    <w:p w:rsidR="00783C6A" w:rsidRPr="009A0C01" w:rsidRDefault="00783C6A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783C6A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L’Amministrazione ha </w:t>
      </w:r>
      <w:r w:rsidR="0041760C">
        <w:rPr>
          <w:rFonts w:asciiTheme="minorHAnsi" w:hAnsiTheme="minorHAnsi"/>
        </w:rPr>
        <w:t>determinato</w:t>
      </w:r>
      <w:r>
        <w:rPr>
          <w:rFonts w:asciiTheme="minorHAnsi" w:hAnsiTheme="minorHAnsi"/>
        </w:rPr>
        <w:t xml:space="preserve"> il proprio fabbisogno, per la durata di 2</w:t>
      </w:r>
      <w:r w:rsidR="0011790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mesi, </w:t>
      </w:r>
      <w:r w:rsidR="007D5341" w:rsidRPr="009A0C01">
        <w:rPr>
          <w:rFonts w:asciiTheme="minorHAnsi" w:hAnsiTheme="minorHAnsi"/>
        </w:rPr>
        <w:t>come da tabella:</w:t>
      </w:r>
    </w:p>
    <w:p w:rsidR="004A3E81" w:rsidRDefault="004A3E81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tbl>
      <w:tblPr>
        <w:tblStyle w:val="Grigliatabella"/>
        <w:tblW w:w="9999" w:type="dxa"/>
        <w:tblInd w:w="425" w:type="dxa"/>
        <w:tblLook w:val="04A0" w:firstRow="1" w:lastRow="0" w:firstColumn="1" w:lastColumn="0" w:noHBand="0" w:noVBand="1"/>
      </w:tblPr>
      <w:tblGrid>
        <w:gridCol w:w="2235"/>
        <w:gridCol w:w="1552"/>
        <w:gridCol w:w="1553"/>
        <w:gridCol w:w="1553"/>
        <w:gridCol w:w="1553"/>
        <w:gridCol w:w="1553"/>
      </w:tblGrid>
      <w:tr w:rsidR="004A3E81" w:rsidRPr="0041760C" w:rsidTr="00117900">
        <w:tc>
          <w:tcPr>
            <w:tcW w:w="2235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Pubblicazione</w:t>
            </w:r>
            <w:r w:rsidR="0041760C" w:rsidRPr="0041760C">
              <w:rPr>
                <w:rFonts w:asciiTheme="minorHAnsi" w:hAnsiTheme="minorHAnsi"/>
                <w:b/>
                <w:sz w:val="16"/>
                <w:szCs w:val="16"/>
              </w:rPr>
              <w:t xml:space="preserve"> GURI</w:t>
            </w:r>
          </w:p>
        </w:tc>
        <w:tc>
          <w:tcPr>
            <w:tcW w:w="1552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gare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lotti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 righe per gara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#righe per lotto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righe</w:t>
            </w:r>
          </w:p>
        </w:tc>
      </w:tr>
      <w:tr w:rsidR="00117900" w:rsidRPr="0041760C" w:rsidTr="00117900">
        <w:tc>
          <w:tcPr>
            <w:tcW w:w="2235" w:type="dxa"/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Bando (a)</w:t>
            </w:r>
          </w:p>
        </w:tc>
        <w:tc>
          <w:tcPr>
            <w:tcW w:w="1552" w:type="dxa"/>
          </w:tcPr>
          <w:p w:rsidR="00117900" w:rsidRPr="00DF5B61" w:rsidRDefault="00117900" w:rsidP="00996FEE">
            <w:r w:rsidRPr="00DF5B61">
              <w:t>11</w:t>
            </w:r>
          </w:p>
        </w:tc>
        <w:tc>
          <w:tcPr>
            <w:tcW w:w="1553" w:type="dxa"/>
          </w:tcPr>
          <w:p w:rsidR="00117900" w:rsidRPr="00DF5B61" w:rsidRDefault="00117900" w:rsidP="00996FEE">
            <w:r w:rsidRPr="00DF5B61">
              <w:t>22</w:t>
            </w:r>
          </w:p>
        </w:tc>
        <w:tc>
          <w:tcPr>
            <w:tcW w:w="1553" w:type="dxa"/>
          </w:tcPr>
          <w:p w:rsidR="00117900" w:rsidRPr="00DF5B61" w:rsidRDefault="00117900" w:rsidP="00996FEE">
            <w:r w:rsidRPr="00DF5B61">
              <w:t>20</w:t>
            </w:r>
          </w:p>
        </w:tc>
        <w:tc>
          <w:tcPr>
            <w:tcW w:w="1553" w:type="dxa"/>
          </w:tcPr>
          <w:p w:rsidR="00117900" w:rsidRPr="00DF5B61" w:rsidRDefault="00117900" w:rsidP="00996FEE">
            <w:r w:rsidRPr="00DF5B61">
              <w:t>3</w:t>
            </w:r>
          </w:p>
        </w:tc>
        <w:tc>
          <w:tcPr>
            <w:tcW w:w="1553" w:type="dxa"/>
          </w:tcPr>
          <w:p w:rsidR="00117900" w:rsidRPr="00DF5B61" w:rsidRDefault="00117900" w:rsidP="00996FEE">
            <w:r w:rsidRPr="00DF5B61">
              <w:t>286</w:t>
            </w:r>
          </w:p>
        </w:tc>
      </w:tr>
      <w:tr w:rsidR="00117900" w:rsidRPr="0041760C" w:rsidTr="00117900">
        <w:tc>
          <w:tcPr>
            <w:tcW w:w="2235" w:type="dxa"/>
            <w:tcBorders>
              <w:bottom w:val="single" w:sz="4" w:space="0" w:color="auto"/>
            </w:tcBorders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Esito (b)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17900" w:rsidRPr="00DF5B61" w:rsidRDefault="00117900" w:rsidP="00996FEE"/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DF5B61" w:rsidRDefault="00117900" w:rsidP="00996FEE">
            <w:r w:rsidRPr="00DF5B61">
              <w:t>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DF5B61" w:rsidRDefault="00117900" w:rsidP="00996FEE"/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DF5B61" w:rsidRDefault="00117900" w:rsidP="00996FEE">
            <w:r w:rsidRPr="00DF5B61">
              <w:t>18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Default="00117900" w:rsidP="00996FEE">
            <w:r w:rsidRPr="00DF5B61">
              <w:t>396</w:t>
            </w:r>
          </w:p>
        </w:tc>
      </w:tr>
      <w:tr w:rsidR="004A3E81" w:rsidRPr="0041760C" w:rsidTr="00117900">
        <w:tc>
          <w:tcPr>
            <w:tcW w:w="2235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Pubblicazione</w:t>
            </w:r>
            <w:r w:rsidR="0041760C" w:rsidRPr="0041760C">
              <w:rPr>
                <w:rFonts w:asciiTheme="minorHAnsi" w:hAnsiTheme="minorHAnsi"/>
                <w:b/>
                <w:sz w:val="16"/>
                <w:szCs w:val="16"/>
              </w:rPr>
              <w:t xml:space="preserve"> quotidiani</w:t>
            </w:r>
          </w:p>
        </w:tc>
        <w:tc>
          <w:tcPr>
            <w:tcW w:w="1552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gare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A3E81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lotti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1760C" w:rsidP="00024C9A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 moduli</w:t>
            </w:r>
            <w:r w:rsidR="00024C9A">
              <w:rPr>
                <w:rFonts w:asciiTheme="minorHAnsi" w:hAnsiTheme="minorHAnsi"/>
                <w:b/>
                <w:sz w:val="16"/>
                <w:szCs w:val="16"/>
              </w:rPr>
              <w:t xml:space="preserve"> stimati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 quotidiani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A3E81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Totale moduli</w:t>
            </w:r>
          </w:p>
        </w:tc>
      </w:tr>
      <w:tr w:rsidR="00117900" w:rsidRPr="0041760C" w:rsidTr="00117900">
        <w:tc>
          <w:tcPr>
            <w:tcW w:w="2235" w:type="dxa"/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Estratto bando (c)</w:t>
            </w:r>
          </w:p>
        </w:tc>
        <w:tc>
          <w:tcPr>
            <w:tcW w:w="1552" w:type="dxa"/>
          </w:tcPr>
          <w:p w:rsidR="00117900" w:rsidRPr="0072399E" w:rsidRDefault="00117900" w:rsidP="00412855">
            <w:r w:rsidRPr="0072399E">
              <w:t>11</w:t>
            </w:r>
          </w:p>
        </w:tc>
        <w:tc>
          <w:tcPr>
            <w:tcW w:w="1553" w:type="dxa"/>
          </w:tcPr>
          <w:p w:rsidR="00117900" w:rsidRPr="0072399E" w:rsidRDefault="00117900" w:rsidP="00412855"/>
        </w:tc>
        <w:tc>
          <w:tcPr>
            <w:tcW w:w="1553" w:type="dxa"/>
          </w:tcPr>
          <w:p w:rsidR="00117900" w:rsidRPr="0072399E" w:rsidRDefault="00117900" w:rsidP="00412855">
            <w:r w:rsidRPr="0072399E">
              <w:t>20</w:t>
            </w:r>
          </w:p>
        </w:tc>
        <w:tc>
          <w:tcPr>
            <w:tcW w:w="1553" w:type="dxa"/>
          </w:tcPr>
          <w:p w:rsidR="00117900" w:rsidRPr="0072399E" w:rsidRDefault="00117900" w:rsidP="00412855">
            <w:r w:rsidRPr="0072399E">
              <w:t>4</w:t>
            </w:r>
          </w:p>
        </w:tc>
        <w:tc>
          <w:tcPr>
            <w:tcW w:w="1553" w:type="dxa"/>
          </w:tcPr>
          <w:p w:rsidR="00117900" w:rsidRPr="0072399E" w:rsidRDefault="00117900" w:rsidP="00412855">
            <w:r w:rsidRPr="0072399E">
              <w:t>80</w:t>
            </w:r>
          </w:p>
        </w:tc>
      </w:tr>
      <w:tr w:rsidR="00117900" w:rsidRPr="0041760C" w:rsidTr="00117900">
        <w:tc>
          <w:tcPr>
            <w:tcW w:w="2235" w:type="dxa"/>
            <w:tcBorders>
              <w:bottom w:val="single" w:sz="4" w:space="0" w:color="auto"/>
            </w:tcBorders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Estratto esito (d)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17900" w:rsidRPr="0072399E" w:rsidRDefault="00117900" w:rsidP="00412855"/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72399E" w:rsidRDefault="00117900" w:rsidP="00412855">
            <w:r w:rsidRPr="0072399E">
              <w:t>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72399E" w:rsidRDefault="00117900" w:rsidP="00412855">
            <w:r w:rsidRPr="0072399E"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Pr="0072399E" w:rsidRDefault="00117900" w:rsidP="00412855">
            <w:r w:rsidRPr="0072399E"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900" w:rsidRDefault="00117900" w:rsidP="00412855">
            <w:r w:rsidRPr="0072399E">
              <w:t>88</w:t>
            </w:r>
          </w:p>
        </w:tc>
      </w:tr>
      <w:tr w:rsidR="0041760C" w:rsidRPr="0041760C" w:rsidTr="00117900">
        <w:tc>
          <w:tcPr>
            <w:tcW w:w="2235" w:type="dxa"/>
            <w:shd w:val="clear" w:color="auto" w:fill="8DB3E2" w:themeFill="text2" w:themeFillTint="66"/>
          </w:tcPr>
          <w:p w:rsidR="0041760C" w:rsidRPr="0041760C" w:rsidRDefault="003C61C4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Altre pubblicazioni</w:t>
            </w:r>
          </w:p>
        </w:tc>
        <w:tc>
          <w:tcPr>
            <w:tcW w:w="1552" w:type="dxa"/>
            <w:shd w:val="clear" w:color="auto" w:fill="8DB3E2" w:themeFill="text2" w:themeFillTint="66"/>
          </w:tcPr>
          <w:p w:rsidR="0041760C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Stima GURI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1760C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Stima quotidiani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1760C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 righe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1760C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# moduli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41760C" w:rsidRPr="0041760C" w:rsidRDefault="0041760C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Totale</w:t>
            </w:r>
          </w:p>
        </w:tc>
      </w:tr>
      <w:tr w:rsidR="00117900" w:rsidRPr="0041760C" w:rsidTr="00117900">
        <w:tc>
          <w:tcPr>
            <w:tcW w:w="2235" w:type="dxa"/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GURI</w:t>
            </w:r>
          </w:p>
        </w:tc>
        <w:tc>
          <w:tcPr>
            <w:tcW w:w="1552" w:type="dxa"/>
          </w:tcPr>
          <w:p w:rsidR="00117900" w:rsidRPr="001479ED" w:rsidRDefault="00117900" w:rsidP="00461EC4">
            <w:r w:rsidRPr="001479ED">
              <w:t>3</w:t>
            </w:r>
          </w:p>
        </w:tc>
        <w:tc>
          <w:tcPr>
            <w:tcW w:w="1553" w:type="dxa"/>
          </w:tcPr>
          <w:p w:rsidR="00117900" w:rsidRPr="001479ED" w:rsidRDefault="00117900" w:rsidP="00461EC4"/>
        </w:tc>
        <w:tc>
          <w:tcPr>
            <w:tcW w:w="1553" w:type="dxa"/>
          </w:tcPr>
          <w:p w:rsidR="00117900" w:rsidRPr="001479ED" w:rsidRDefault="00117900" w:rsidP="00461EC4">
            <w:r w:rsidRPr="001479ED">
              <w:t>18</w:t>
            </w:r>
          </w:p>
        </w:tc>
        <w:tc>
          <w:tcPr>
            <w:tcW w:w="1553" w:type="dxa"/>
          </w:tcPr>
          <w:p w:rsidR="00117900" w:rsidRPr="001479ED" w:rsidRDefault="00117900" w:rsidP="00461EC4"/>
        </w:tc>
        <w:tc>
          <w:tcPr>
            <w:tcW w:w="1553" w:type="dxa"/>
          </w:tcPr>
          <w:p w:rsidR="00117900" w:rsidRPr="001479ED" w:rsidRDefault="00117900" w:rsidP="00461EC4">
            <w:r w:rsidRPr="001479ED">
              <w:t>54</w:t>
            </w:r>
          </w:p>
        </w:tc>
      </w:tr>
      <w:tr w:rsidR="00117900" w:rsidRPr="0041760C" w:rsidTr="00117900">
        <w:tc>
          <w:tcPr>
            <w:tcW w:w="2235" w:type="dxa"/>
          </w:tcPr>
          <w:p w:rsidR="00117900" w:rsidRPr="0041760C" w:rsidRDefault="00117900" w:rsidP="0041760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1760C">
              <w:rPr>
                <w:rFonts w:asciiTheme="minorHAnsi" w:hAnsiTheme="minorHAnsi"/>
                <w:sz w:val="16"/>
                <w:szCs w:val="16"/>
              </w:rPr>
              <w:t>Quotidiani</w:t>
            </w:r>
          </w:p>
        </w:tc>
        <w:tc>
          <w:tcPr>
            <w:tcW w:w="1552" w:type="dxa"/>
          </w:tcPr>
          <w:p w:rsidR="00117900" w:rsidRPr="001479ED" w:rsidRDefault="00117900" w:rsidP="00461EC4"/>
        </w:tc>
        <w:tc>
          <w:tcPr>
            <w:tcW w:w="1553" w:type="dxa"/>
          </w:tcPr>
          <w:p w:rsidR="00117900" w:rsidRPr="001479ED" w:rsidRDefault="00117900" w:rsidP="00461EC4">
            <w:r w:rsidRPr="001479ED">
              <w:t>12</w:t>
            </w:r>
          </w:p>
        </w:tc>
        <w:tc>
          <w:tcPr>
            <w:tcW w:w="1553" w:type="dxa"/>
          </w:tcPr>
          <w:p w:rsidR="00117900" w:rsidRPr="001479ED" w:rsidRDefault="00117900" w:rsidP="00461EC4"/>
        </w:tc>
        <w:tc>
          <w:tcPr>
            <w:tcW w:w="1553" w:type="dxa"/>
          </w:tcPr>
          <w:p w:rsidR="00117900" w:rsidRPr="001479ED" w:rsidRDefault="00117900" w:rsidP="00461EC4">
            <w:r w:rsidRPr="001479ED">
              <w:t>3</w:t>
            </w:r>
          </w:p>
        </w:tc>
        <w:tc>
          <w:tcPr>
            <w:tcW w:w="1553" w:type="dxa"/>
          </w:tcPr>
          <w:p w:rsidR="00117900" w:rsidRDefault="00117900" w:rsidP="00461EC4">
            <w:r w:rsidRPr="001479ED">
              <w:t>36</w:t>
            </w:r>
          </w:p>
        </w:tc>
      </w:tr>
    </w:tbl>
    <w:p w:rsidR="004A3E81" w:rsidRDefault="004A3E81" w:rsidP="00783C6A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 xml:space="preserve">Il fabbisogno complessivo è stato determinato in via presuntiva avendo riguardo alla programmazione biennale degli acquisti di forniture e servizi </w:t>
      </w:r>
      <w:r w:rsidR="00F30051">
        <w:rPr>
          <w:rFonts w:asciiTheme="minorHAnsi" w:hAnsiTheme="minorHAnsi" w:cstheme="minorHAnsi"/>
        </w:rPr>
        <w:t>della Stazione appaltante.</w:t>
      </w:r>
    </w:p>
    <w:p w:rsidR="00F30051" w:rsidRPr="009A0C01" w:rsidRDefault="00F3005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</w:p>
    <w:p w:rsidR="00CA629A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 xml:space="preserve">Con riferimento al massimale di cui alla tabella su riportata la </w:t>
      </w:r>
      <w:r w:rsidR="00F30051">
        <w:rPr>
          <w:rFonts w:asciiTheme="minorHAnsi" w:hAnsiTheme="minorHAnsi" w:cstheme="minorHAnsi"/>
        </w:rPr>
        <w:t>Stazione appaltante</w:t>
      </w:r>
      <w:r w:rsidRPr="009A0C01">
        <w:rPr>
          <w:rFonts w:asciiTheme="minorHAnsi" w:hAnsiTheme="minorHAnsi" w:cstheme="minorHAnsi"/>
        </w:rPr>
        <w:t xml:space="preserve"> non si impegna in alcun modo al raggiungimento dello stesso ovvero al raggiungimento di un numero minimo di pubblicazioni, riservandosi la facoltà di </w:t>
      </w:r>
      <w:r w:rsidRPr="009A0C01">
        <w:rPr>
          <w:rFonts w:asciiTheme="minorHAnsi" w:hAnsiTheme="minorHAnsi" w:cstheme="minorHAnsi"/>
        </w:rPr>
        <w:lastRenderedPageBreak/>
        <w:t>recedere, anche parzialmente, dal contratto in caso di sopravvenute modifiche normative che influiscano sulle procedure di pubblicazione delle gare a evidenza pubblica, senza che ciò determini alcun onere i</w:t>
      </w:r>
      <w:r w:rsidR="00F30051">
        <w:rPr>
          <w:rFonts w:asciiTheme="minorHAnsi" w:hAnsiTheme="minorHAnsi" w:cstheme="minorHAnsi"/>
        </w:rPr>
        <w:t>n capo alla Stazione appaltante medesima.</w:t>
      </w:r>
    </w:p>
    <w:p w:rsidR="00F30051" w:rsidRPr="009A0C01" w:rsidRDefault="00F3005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</w:p>
    <w:p w:rsidR="00CA629A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 xml:space="preserve">Il prezzo offerto si intende omnicomprensivo di tutti gli oneri e compensi necessari per la completa e perfetta esecuzione della prestazione e avrà validità per tutta la durata del </w:t>
      </w:r>
      <w:r w:rsidR="00F30051">
        <w:rPr>
          <w:rFonts w:asciiTheme="minorHAnsi" w:hAnsiTheme="minorHAnsi" w:cstheme="minorHAnsi"/>
        </w:rPr>
        <w:t>contratto</w:t>
      </w:r>
      <w:r w:rsidRPr="009A0C01">
        <w:rPr>
          <w:rFonts w:asciiTheme="minorHAnsi" w:hAnsiTheme="minorHAnsi" w:cstheme="minorHAnsi"/>
        </w:rPr>
        <w:t>.</w:t>
      </w:r>
    </w:p>
    <w:p w:rsidR="00F30051" w:rsidRPr="009A0C01" w:rsidRDefault="00F3005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</w:p>
    <w:p w:rsidR="00CA629A" w:rsidRPr="009A0C01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>Le attività sopra elencate dovranno essere eseguite nel rispetto delle specifiche e delle modalità indicate nel Capitolato tecnico, nonché nelle Condizioni particolari di contratto.</w:t>
      </w: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7D5341" w:rsidP="00CC0CD2">
      <w:pPr>
        <w:pStyle w:val="Titolo2"/>
      </w:pPr>
      <w:bookmarkStart w:id="6" w:name="_Toc19164814"/>
      <w:r w:rsidRPr="009A0C01">
        <w:t>Soggetti ammessi e criteri di selezione degli operatori economici</w:t>
      </w:r>
      <w:bookmarkEnd w:id="6"/>
    </w:p>
    <w:p w:rsidR="0049023D" w:rsidRDefault="0049023D" w:rsidP="0049023D">
      <w:pPr>
        <w:pStyle w:val="Corpotesto"/>
        <w:ind w:left="475" w:right="1225"/>
        <w:jc w:val="both"/>
        <w:rPr>
          <w:rFonts w:asciiTheme="minorHAnsi" w:hAnsiTheme="minorHAnsi" w:cstheme="minorHAnsi"/>
        </w:rPr>
      </w:pPr>
    </w:p>
    <w:p w:rsidR="0049023D" w:rsidRPr="009A0C01" w:rsidRDefault="007D5341" w:rsidP="0049023D">
      <w:pPr>
        <w:pStyle w:val="Corpotesto"/>
        <w:ind w:left="475" w:right="2"/>
        <w:jc w:val="both"/>
        <w:rPr>
          <w:rFonts w:asciiTheme="minorHAnsi" w:hAnsiTheme="minorHAnsi"/>
        </w:rPr>
      </w:pPr>
      <w:r w:rsidRPr="009A0C01">
        <w:rPr>
          <w:rFonts w:asciiTheme="minorHAnsi" w:hAnsiTheme="minorHAnsi" w:cstheme="minorHAnsi"/>
        </w:rPr>
        <w:t>Si ritengono sufficienti i requisiti indicati nel Capitola</w:t>
      </w:r>
      <w:r w:rsidR="0049023D">
        <w:rPr>
          <w:rFonts w:asciiTheme="minorHAnsi" w:hAnsiTheme="minorHAnsi" w:cstheme="minorHAnsi"/>
        </w:rPr>
        <w:t>to d’oneri per l’ammissione al B</w:t>
      </w:r>
      <w:r w:rsidRPr="009A0C01">
        <w:rPr>
          <w:rFonts w:asciiTheme="minorHAnsi" w:hAnsiTheme="minorHAnsi" w:cstheme="minorHAnsi"/>
        </w:rPr>
        <w:t xml:space="preserve">ando </w:t>
      </w:r>
      <w:r w:rsidR="0049023D">
        <w:rPr>
          <w:rFonts w:asciiTheme="minorHAnsi" w:hAnsiTheme="minorHAnsi" w:cstheme="minorHAnsi"/>
        </w:rPr>
        <w:t xml:space="preserve">del Mercato Elettronico della Pubblica amministrazione </w:t>
      </w:r>
      <w:r w:rsidR="0049023D" w:rsidRPr="009A0C01">
        <w:rPr>
          <w:rFonts w:asciiTheme="minorHAnsi" w:hAnsiTheme="minorHAnsi"/>
        </w:rPr>
        <w:t>“Prestazione di Servizi alle Pubbliche Amministrazioni”,</w:t>
      </w:r>
      <w:r w:rsidR="0049023D">
        <w:rPr>
          <w:rFonts w:asciiTheme="minorHAnsi" w:hAnsiTheme="minorHAnsi"/>
        </w:rPr>
        <w:t xml:space="preserve"> categoria “</w:t>
      </w:r>
      <w:r w:rsidR="0049023D" w:rsidRPr="009A0C01">
        <w:rPr>
          <w:rFonts w:asciiTheme="minorHAnsi" w:hAnsiTheme="minorHAnsi"/>
        </w:rPr>
        <w:t xml:space="preserve">Servizi di Informazione, Comunicazione e marketing”, CPV </w:t>
      </w:r>
      <w:r w:rsidR="00286EE1">
        <w:rPr>
          <w:rFonts w:asciiTheme="minorHAnsi" w:hAnsiTheme="minorHAnsi"/>
        </w:rPr>
        <w:t>79341200-</w:t>
      </w:r>
      <w:proofErr w:type="gramStart"/>
      <w:r w:rsidR="00286EE1">
        <w:rPr>
          <w:rFonts w:asciiTheme="minorHAnsi" w:hAnsiTheme="minorHAnsi"/>
        </w:rPr>
        <w:t xml:space="preserve">8 </w:t>
      </w:r>
      <w:r w:rsidR="0049023D" w:rsidRPr="009A0C01">
        <w:rPr>
          <w:rFonts w:asciiTheme="minorHAnsi" w:hAnsiTheme="minorHAnsi"/>
        </w:rPr>
        <w:t xml:space="preserve"> Servizi</w:t>
      </w:r>
      <w:proofErr w:type="gramEnd"/>
      <w:r w:rsidR="0049023D" w:rsidRPr="009A0C01">
        <w:rPr>
          <w:rFonts w:asciiTheme="minorHAnsi" w:hAnsiTheme="minorHAnsi"/>
        </w:rPr>
        <w:t xml:space="preserve"> </w:t>
      </w:r>
      <w:r w:rsidR="00286EE1">
        <w:rPr>
          <w:rFonts w:asciiTheme="minorHAnsi" w:hAnsiTheme="minorHAnsi"/>
        </w:rPr>
        <w:t>di gestione pubblicitaria</w:t>
      </w:r>
      <w:bookmarkStart w:id="7" w:name="_GoBack"/>
      <w:bookmarkEnd w:id="7"/>
      <w:r w:rsidR="0049023D" w:rsidRPr="009A0C01">
        <w:rPr>
          <w:rFonts w:asciiTheme="minorHAnsi" w:hAnsiTheme="minorHAnsi"/>
        </w:rPr>
        <w:t>.</w:t>
      </w:r>
    </w:p>
    <w:p w:rsidR="0049023D" w:rsidRDefault="0049023D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</w:p>
    <w:p w:rsidR="00CA629A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9A0C01">
        <w:rPr>
          <w:rFonts w:asciiTheme="minorHAnsi" w:hAnsiTheme="minorHAnsi" w:cstheme="minorHAnsi"/>
        </w:rPr>
        <w:t xml:space="preserve">Il concorrente </w:t>
      </w:r>
      <w:r w:rsidRPr="009A0C01">
        <w:rPr>
          <w:rFonts w:asciiTheme="minorHAnsi" w:hAnsiTheme="minorHAnsi" w:cstheme="minorHAnsi"/>
          <w:b/>
        </w:rPr>
        <w:t xml:space="preserve">è escluso </w:t>
      </w:r>
      <w:r w:rsidRPr="009A0C01">
        <w:rPr>
          <w:rFonts w:asciiTheme="minorHAnsi" w:hAnsiTheme="minorHAnsi" w:cstheme="minorHAnsi"/>
        </w:rPr>
        <w:t>dalla procedura di gara nel caso sussistano alla data di presentazione dell’offerta:</w:t>
      </w:r>
    </w:p>
    <w:p w:rsidR="00CA629A" w:rsidRPr="009A0C01" w:rsidRDefault="0049023D" w:rsidP="0049023D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5341" w:rsidRPr="009A0C01">
        <w:rPr>
          <w:rFonts w:asciiTheme="minorHAnsi" w:hAnsiTheme="minorHAnsi" w:cstheme="minorHAnsi"/>
        </w:rPr>
        <w:t>ause di esclusione di cui all’art.80 del Codice;</w:t>
      </w:r>
    </w:p>
    <w:p w:rsidR="0049023D" w:rsidRDefault="0049023D" w:rsidP="0049023D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D5341" w:rsidRPr="009A0C01">
        <w:rPr>
          <w:rFonts w:asciiTheme="minorHAnsi" w:hAnsiTheme="minorHAnsi" w:cstheme="minorHAnsi"/>
        </w:rPr>
        <w:t>ltre cause che comportano divieti a contrarre c</w:t>
      </w:r>
      <w:r>
        <w:rPr>
          <w:rFonts w:asciiTheme="minorHAnsi" w:hAnsiTheme="minorHAnsi" w:cstheme="minorHAnsi"/>
        </w:rPr>
        <w:t>on la pubblica amministrazione.</w:t>
      </w:r>
    </w:p>
    <w:p w:rsidR="0049023D" w:rsidRDefault="0049023D" w:rsidP="0049023D">
      <w:pPr>
        <w:pStyle w:val="Paragrafoelenco"/>
        <w:widowControl/>
        <w:tabs>
          <w:tab w:val="left" w:pos="574"/>
        </w:tabs>
        <w:autoSpaceDE/>
        <w:autoSpaceDN/>
        <w:ind w:left="783" w:firstLine="0"/>
        <w:jc w:val="both"/>
        <w:rPr>
          <w:rFonts w:asciiTheme="minorHAnsi" w:hAnsiTheme="minorHAnsi" w:cstheme="minorHAnsi"/>
        </w:rPr>
      </w:pPr>
    </w:p>
    <w:p w:rsidR="00CA629A" w:rsidRPr="0049023D" w:rsidRDefault="007D5341" w:rsidP="0049023D">
      <w:pPr>
        <w:pStyle w:val="Corpotesto"/>
        <w:ind w:left="475" w:right="2"/>
        <w:jc w:val="both"/>
        <w:rPr>
          <w:rFonts w:asciiTheme="minorHAnsi" w:hAnsiTheme="minorHAnsi" w:cstheme="minorHAnsi"/>
        </w:rPr>
      </w:pPr>
      <w:r w:rsidRPr="0049023D">
        <w:rPr>
          <w:rFonts w:asciiTheme="minorHAnsi" w:hAnsiTheme="minorHAnsi" w:cstheme="minorHAnsi"/>
        </w:rPr>
        <w:t xml:space="preserve">Il concorrente </w:t>
      </w:r>
      <w:r w:rsidRPr="0049023D">
        <w:rPr>
          <w:rFonts w:asciiTheme="minorHAnsi" w:hAnsiTheme="minorHAnsi" w:cstheme="minorHAnsi"/>
          <w:b/>
        </w:rPr>
        <w:t>è altresì escluso</w:t>
      </w:r>
      <w:r w:rsidRPr="0049023D">
        <w:rPr>
          <w:rFonts w:asciiTheme="minorHAnsi" w:hAnsiTheme="minorHAnsi" w:cstheme="minorHAnsi"/>
        </w:rPr>
        <w:t xml:space="preserve"> dalla procedura di gara nel caso:</w:t>
      </w:r>
    </w:p>
    <w:p w:rsidR="00CA629A" w:rsidRDefault="0049023D" w:rsidP="0049023D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D5341" w:rsidRPr="009A0C01">
        <w:rPr>
          <w:rFonts w:asciiTheme="minorHAnsi" w:hAnsiTheme="minorHAnsi" w:cstheme="minorHAnsi"/>
        </w:rPr>
        <w:t>ersi nelle condizioni di cui all’art.53, comma 16-</w:t>
      </w:r>
      <w:r w:rsidR="007D5341" w:rsidRPr="009A0C01">
        <w:rPr>
          <w:rFonts w:asciiTheme="minorHAnsi" w:hAnsiTheme="minorHAnsi" w:cstheme="minorHAnsi"/>
          <w:i/>
        </w:rPr>
        <w:t>ter</w:t>
      </w:r>
      <w:r w:rsidR="003C61C4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3C61C4">
        <w:rPr>
          <w:rFonts w:asciiTheme="minorHAnsi" w:hAnsiTheme="minorHAnsi" w:cstheme="minorHAnsi"/>
        </w:rPr>
        <w:t>D.Lgs</w:t>
      </w:r>
      <w:proofErr w:type="gramEnd"/>
      <w:r w:rsidR="003C61C4">
        <w:rPr>
          <w:rFonts w:asciiTheme="minorHAnsi" w:hAnsiTheme="minorHAnsi" w:cstheme="minorHAnsi"/>
        </w:rPr>
        <w:t>.</w:t>
      </w:r>
      <w:proofErr w:type="spellEnd"/>
      <w:r w:rsidR="003C61C4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 xml:space="preserve">° </w:t>
      </w:r>
      <w:r w:rsidR="007D5341" w:rsidRPr="009A0C01">
        <w:rPr>
          <w:rFonts w:asciiTheme="minorHAnsi" w:hAnsiTheme="minorHAnsi" w:cstheme="minorHAnsi"/>
        </w:rPr>
        <w:t xml:space="preserve">165/2001 (cd. </w:t>
      </w:r>
      <w:proofErr w:type="spellStart"/>
      <w:r w:rsidR="003C61C4" w:rsidRPr="009A0C01">
        <w:rPr>
          <w:rFonts w:asciiTheme="minorHAnsi" w:hAnsiTheme="minorHAnsi" w:cstheme="minorHAnsi"/>
          <w:i/>
        </w:rPr>
        <w:t>Pantouflage</w:t>
      </w:r>
      <w:proofErr w:type="spellEnd"/>
      <w:r w:rsidR="007D5341" w:rsidRPr="009A0C01">
        <w:rPr>
          <w:rFonts w:asciiTheme="minorHAnsi" w:hAnsiTheme="minorHAnsi" w:cstheme="minorHAnsi"/>
        </w:rPr>
        <w:t xml:space="preserve">), pertanto abbia affidato incarichi e/o stipulato contratti in violazione dell’art.53, comma 16- </w:t>
      </w:r>
      <w:r w:rsidR="007D5341" w:rsidRPr="009A0C01">
        <w:rPr>
          <w:rFonts w:asciiTheme="minorHAnsi" w:hAnsiTheme="minorHAnsi" w:cstheme="minorHAnsi"/>
          <w:i/>
        </w:rPr>
        <w:t>ter</w:t>
      </w:r>
      <w:r w:rsidR="007D5341" w:rsidRPr="009A0C01">
        <w:rPr>
          <w:rFonts w:asciiTheme="minorHAnsi" w:hAnsiTheme="minorHAnsi" w:cstheme="minorHAnsi"/>
        </w:rPr>
        <w:t>, sopra citato.</w:t>
      </w:r>
    </w:p>
    <w:p w:rsidR="007525CF" w:rsidRDefault="007525CF" w:rsidP="007525CF">
      <w:pPr>
        <w:widowControl/>
        <w:tabs>
          <w:tab w:val="left" w:pos="574"/>
        </w:tabs>
        <w:autoSpaceDE/>
        <w:autoSpaceDN/>
        <w:jc w:val="both"/>
        <w:rPr>
          <w:rFonts w:asciiTheme="minorHAnsi" w:hAnsiTheme="minorHAnsi"/>
        </w:rPr>
      </w:pPr>
    </w:p>
    <w:p w:rsidR="007525CF" w:rsidRPr="007525CF" w:rsidRDefault="00CC0CD2" w:rsidP="007525CF">
      <w:pPr>
        <w:pStyle w:val="Titolo1"/>
      </w:pPr>
      <w:bookmarkStart w:id="8" w:name="_Toc19164815"/>
      <w:r>
        <w:t xml:space="preserve">II - </w:t>
      </w:r>
      <w:r w:rsidR="007525CF" w:rsidRPr="007525CF">
        <w:t>CALCOLO DELL’IMPORTO PER L’ACQUIS</w:t>
      </w:r>
      <w:r>
        <w:t>izione del servizio</w:t>
      </w:r>
      <w:r w:rsidR="007525CF" w:rsidRPr="007525CF">
        <w:t xml:space="preserve"> E VALORE STIMATO DELL’APPALTO</w:t>
      </w:r>
      <w:bookmarkEnd w:id="8"/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9A0C01" w:rsidRDefault="007D5341" w:rsidP="007525CF">
      <w:pPr>
        <w:pStyle w:val="Titolo2"/>
      </w:pPr>
      <w:bookmarkStart w:id="9" w:name="_Toc19164816"/>
      <w:r w:rsidRPr="009A0C01">
        <w:t xml:space="preserve">Calcolo dell’importo </w:t>
      </w:r>
      <w:r w:rsidR="00CC0CD2">
        <w:t>per l’acquisizione del servizio</w:t>
      </w:r>
      <w:bookmarkEnd w:id="9"/>
    </w:p>
    <w:p w:rsidR="007525CF" w:rsidRDefault="007525CF" w:rsidP="007525CF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D62C71" w:rsidP="007525CF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Considerato</w:t>
      </w:r>
      <w:r w:rsidR="007D5341" w:rsidRPr="009A0C01">
        <w:rPr>
          <w:rFonts w:asciiTheme="minorHAnsi" w:hAnsiTheme="minorHAnsi"/>
        </w:rPr>
        <w:t xml:space="preserve"> che ANAC non ha individuato prezzi di riferimento per il servizio in </w:t>
      </w:r>
      <w:r>
        <w:rPr>
          <w:rFonts w:asciiTheme="minorHAnsi" w:hAnsiTheme="minorHAnsi"/>
        </w:rPr>
        <w:t>oggetto</w:t>
      </w:r>
      <w:r w:rsidR="007D5341" w:rsidRPr="009A0C01">
        <w:rPr>
          <w:rFonts w:asciiTheme="minorHAnsi" w:hAnsiTheme="minorHAnsi"/>
        </w:rPr>
        <w:t xml:space="preserve"> il valore dell’appalto e i prezzi unitari da porre a base d’asta sono stati determinati prendendo in considerazione:</w:t>
      </w:r>
    </w:p>
    <w:p w:rsidR="00D62C71" w:rsidRPr="009A0C01" w:rsidRDefault="00D62C71" w:rsidP="007525CF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D62C71" w:rsidRPr="00D62C71" w:rsidRDefault="00D62C71" w:rsidP="00D62C71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5341" w:rsidRPr="009A0C01">
        <w:rPr>
          <w:rFonts w:asciiTheme="minorHAnsi" w:hAnsiTheme="minorHAnsi" w:cstheme="minorHAnsi"/>
        </w:rPr>
        <w:t xml:space="preserve">e attività da porre in essere come previste nel programma degli acquisti della </w:t>
      </w:r>
      <w:r>
        <w:rPr>
          <w:rFonts w:asciiTheme="minorHAnsi" w:hAnsiTheme="minorHAnsi" w:cstheme="minorHAnsi"/>
        </w:rPr>
        <w:t>Stazione appaltante</w:t>
      </w:r>
      <w:r w:rsidR="007D5341" w:rsidRPr="009A0C01">
        <w:rPr>
          <w:rFonts w:asciiTheme="minorHAnsi" w:hAnsiTheme="minorHAnsi" w:cstheme="minorHAnsi"/>
        </w:rPr>
        <w:t xml:space="preserve"> per il biennio 20</w:t>
      </w:r>
      <w:r w:rsidR="003C61C4">
        <w:rPr>
          <w:rFonts w:asciiTheme="minorHAnsi" w:hAnsiTheme="minorHAnsi" w:cstheme="minorHAnsi"/>
        </w:rPr>
        <w:t>20-2021</w:t>
      </w:r>
      <w:r w:rsidR="007D5341" w:rsidRPr="009A0C01">
        <w:rPr>
          <w:rFonts w:asciiTheme="minorHAnsi" w:hAnsiTheme="minorHAnsi" w:cstheme="minorHAnsi"/>
        </w:rPr>
        <w:t xml:space="preserve"> e a invarianza della normativa di riferimento per la pubblicazione, al fine di stimare il numero di procedure per le quali si potrà procedere alle varie tipologie di pubblicazione;</w:t>
      </w:r>
    </w:p>
    <w:p w:rsidR="00CA629A" w:rsidRDefault="00D62C71" w:rsidP="00D62C71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5341" w:rsidRPr="009A0C01">
        <w:rPr>
          <w:rFonts w:asciiTheme="minorHAnsi" w:hAnsiTheme="minorHAnsi" w:cstheme="minorHAnsi"/>
        </w:rPr>
        <w:t xml:space="preserve">a base d’asta </w:t>
      </w:r>
      <w:r>
        <w:rPr>
          <w:rFonts w:asciiTheme="minorHAnsi" w:hAnsiTheme="minorHAnsi" w:cstheme="minorHAnsi"/>
        </w:rPr>
        <w:t xml:space="preserve">ed i prezzi unitari </w:t>
      </w:r>
      <w:r w:rsidR="007D5341" w:rsidRPr="009A0C01">
        <w:rPr>
          <w:rFonts w:asciiTheme="minorHAnsi" w:hAnsiTheme="minorHAnsi" w:cstheme="minorHAnsi"/>
        </w:rPr>
        <w:t>di gare esperite nell’anno in cor</w:t>
      </w:r>
      <w:r>
        <w:rPr>
          <w:rFonts w:asciiTheme="minorHAnsi" w:hAnsiTheme="minorHAnsi" w:cstheme="minorHAnsi"/>
        </w:rPr>
        <w:t>so da altre stazioni appaltanti;</w:t>
      </w:r>
    </w:p>
    <w:p w:rsidR="007525CF" w:rsidRDefault="00D62C71" w:rsidP="00D62C71">
      <w:pPr>
        <w:pStyle w:val="Paragrafoelenco"/>
        <w:widowControl/>
        <w:numPr>
          <w:ilvl w:val="0"/>
          <w:numId w:val="6"/>
        </w:numPr>
        <w:tabs>
          <w:tab w:val="left" w:pos="574"/>
        </w:tabs>
        <w:autoSpaceDE/>
        <w:autoSpaceDN/>
        <w:ind w:left="783" w:hanging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Preventivi acquisiti tramite i</w:t>
      </w:r>
      <w:r w:rsidR="007525CF">
        <w:rPr>
          <w:rFonts w:asciiTheme="minorHAnsi" w:hAnsiTheme="minorHAnsi" w:cstheme="minorHAnsi"/>
        </w:rPr>
        <w:t xml:space="preserve">ndagine </w:t>
      </w:r>
      <w:r>
        <w:rPr>
          <w:rFonts w:asciiTheme="minorHAnsi" w:hAnsiTheme="minorHAnsi" w:cstheme="minorHAnsi"/>
        </w:rPr>
        <w:t>informale di mercato.</w:t>
      </w:r>
    </w:p>
    <w:p w:rsidR="00D62C71" w:rsidRPr="009A0C01" w:rsidRDefault="00D62C71" w:rsidP="00D62C71">
      <w:pPr>
        <w:pStyle w:val="Paragrafoelenco"/>
        <w:widowControl/>
        <w:tabs>
          <w:tab w:val="left" w:pos="574"/>
        </w:tabs>
        <w:autoSpaceDE/>
        <w:autoSpaceDN/>
        <w:ind w:left="783" w:firstLine="0"/>
        <w:jc w:val="both"/>
        <w:rPr>
          <w:rFonts w:asciiTheme="minorHAnsi" w:hAnsiTheme="minorHAnsi" w:cstheme="minorHAnsi"/>
        </w:rPr>
      </w:pPr>
    </w:p>
    <w:p w:rsidR="00C7549C" w:rsidRDefault="007D5341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>Dalla valutazione complessiva degli elementi sopra citati si è stima</w:t>
      </w:r>
      <w:r w:rsidR="006E4124">
        <w:rPr>
          <w:rFonts w:asciiTheme="minorHAnsi" w:hAnsiTheme="minorHAnsi"/>
        </w:rPr>
        <w:t>ta congrua una base d’asta di €</w:t>
      </w:r>
      <w:r w:rsidR="00D62C71">
        <w:rPr>
          <w:rFonts w:asciiTheme="minorHAnsi" w:hAnsiTheme="minorHAnsi"/>
        </w:rPr>
        <w:t xml:space="preserve"> </w:t>
      </w:r>
      <w:r w:rsidR="00024C9A">
        <w:rPr>
          <w:rFonts w:asciiTheme="minorHAnsi" w:hAnsiTheme="minorHAnsi"/>
        </w:rPr>
        <w:t>20</w:t>
      </w:r>
      <w:r w:rsidR="00D62C71">
        <w:rPr>
          <w:rFonts w:asciiTheme="minorHAnsi" w:hAnsiTheme="minorHAnsi"/>
        </w:rPr>
        <w:t>0,00</w:t>
      </w:r>
      <w:r w:rsidR="006E4124">
        <w:rPr>
          <w:rFonts w:asciiTheme="minorHAnsi" w:hAnsiTheme="minorHAnsi"/>
        </w:rPr>
        <w:t>=</w:t>
      </w:r>
      <w:r w:rsidRPr="009A0C01">
        <w:rPr>
          <w:rFonts w:asciiTheme="minorHAnsi" w:hAnsiTheme="minorHAnsi"/>
        </w:rPr>
        <w:t xml:space="preserve"> a </w:t>
      </w:r>
      <w:r w:rsidR="00D62C71">
        <w:rPr>
          <w:rFonts w:asciiTheme="minorHAnsi" w:hAnsiTheme="minorHAnsi"/>
        </w:rPr>
        <w:t xml:space="preserve">modulo per la pubblicazione sui quotidiani nonché </w:t>
      </w:r>
      <w:r w:rsidR="006E4124">
        <w:rPr>
          <w:rFonts w:asciiTheme="minorHAnsi" w:hAnsiTheme="minorHAnsi"/>
        </w:rPr>
        <w:t>una base d’</w:t>
      </w:r>
      <w:r w:rsidR="00D2452B">
        <w:rPr>
          <w:rFonts w:asciiTheme="minorHAnsi" w:hAnsiTheme="minorHAnsi"/>
        </w:rPr>
        <w:t>asta di € 3</w:t>
      </w:r>
      <w:r w:rsidR="006E4124">
        <w:rPr>
          <w:rFonts w:asciiTheme="minorHAnsi" w:hAnsiTheme="minorHAnsi"/>
        </w:rPr>
        <w:t>0,00= per singola operazione di predisposizione grafica ed editoriale dei testi forniti dalla Stazione appaltante</w:t>
      </w:r>
      <w:r w:rsidR="00C7549C">
        <w:rPr>
          <w:rFonts w:asciiTheme="minorHAnsi" w:hAnsiTheme="minorHAnsi"/>
        </w:rPr>
        <w:t>.</w:t>
      </w:r>
    </w:p>
    <w:p w:rsidR="00C7549C" w:rsidRDefault="00C7549C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7549C" w:rsidRDefault="00C7549C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quanto concerne la pubblicazione sulla Gazzetta Ufficiale della Repubblica italiana si fa riferimento al prezzo fisso attualmente in vigore desunto dal sito dell’Istituto Poligrafico e Zecca dello Stato, pari a € 17,33=/riga </w:t>
      </w:r>
      <w:r w:rsidR="001A68D6">
        <w:rPr>
          <w:rFonts w:asciiTheme="minorHAnsi" w:hAnsiTheme="minorHAnsi"/>
        </w:rPr>
        <w:t xml:space="preserve">(massimo 77 caratteri) </w:t>
      </w:r>
      <w:r>
        <w:rPr>
          <w:rFonts w:asciiTheme="minorHAnsi" w:hAnsiTheme="minorHAnsi"/>
        </w:rPr>
        <w:t xml:space="preserve">al netto </w:t>
      </w:r>
      <w:r w:rsidRPr="009A0C01">
        <w:rPr>
          <w:rFonts w:asciiTheme="minorHAnsi" w:hAnsiTheme="minorHAnsi"/>
        </w:rPr>
        <w:t>di IVA e/o altre imposte e contributi di legge</w:t>
      </w:r>
      <w:r w:rsidR="001A68D6">
        <w:rPr>
          <w:rFonts w:asciiTheme="minorHAnsi" w:hAnsiTheme="minorHAnsi"/>
        </w:rPr>
        <w:t>, che quindi non è soggetto a ribasso.</w:t>
      </w:r>
    </w:p>
    <w:p w:rsidR="00C7549C" w:rsidRDefault="00C7549C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1A68D6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D5341" w:rsidRPr="009A0C01">
        <w:rPr>
          <w:rFonts w:asciiTheme="minorHAnsi" w:hAnsiTheme="minorHAnsi"/>
        </w:rPr>
        <w:t xml:space="preserve">ertanto l’importo stimato dell’appalto </w:t>
      </w:r>
      <w:r w:rsidR="006E4124">
        <w:rPr>
          <w:rFonts w:asciiTheme="minorHAnsi" w:hAnsiTheme="minorHAnsi"/>
        </w:rPr>
        <w:t>risulta</w:t>
      </w:r>
      <w:r w:rsidR="00E454CA">
        <w:rPr>
          <w:rFonts w:asciiTheme="minorHAnsi" w:hAnsiTheme="minorHAnsi"/>
        </w:rPr>
        <w:t xml:space="preserve"> pari a €</w:t>
      </w:r>
      <w:r w:rsidR="00E454CA" w:rsidRPr="00E454CA">
        <w:rPr>
          <w:rFonts w:asciiTheme="minorHAnsi" w:hAnsiTheme="minorHAnsi"/>
        </w:rPr>
        <w:t xml:space="preserve"> 57.454,88 </w:t>
      </w:r>
      <w:r w:rsidR="002051F4">
        <w:rPr>
          <w:rFonts w:asciiTheme="minorHAnsi" w:hAnsiTheme="minorHAnsi"/>
        </w:rPr>
        <w:t>=</w:t>
      </w:r>
      <w:r w:rsidR="002051F4" w:rsidRPr="009A0C01">
        <w:rPr>
          <w:rFonts w:asciiTheme="minorHAnsi" w:hAnsiTheme="minorHAnsi"/>
        </w:rPr>
        <w:t xml:space="preserve"> </w:t>
      </w:r>
      <w:r w:rsidR="007D5341" w:rsidRPr="009A0C01">
        <w:rPr>
          <w:rFonts w:asciiTheme="minorHAnsi" w:hAnsiTheme="minorHAnsi"/>
        </w:rPr>
        <w:t>(</w:t>
      </w:r>
      <w:r w:rsidR="00E454CA">
        <w:rPr>
          <w:rFonts w:asciiTheme="minorHAnsi" w:hAnsiTheme="minorHAnsi"/>
        </w:rPr>
        <w:t>cinquantasette quattrocento cinquantaquattro/88</w:t>
      </w:r>
      <w:r w:rsidR="007D5341" w:rsidRPr="009A0C01">
        <w:rPr>
          <w:rFonts w:asciiTheme="minorHAnsi" w:hAnsiTheme="minorHAnsi"/>
        </w:rPr>
        <w:t>) al netto di IVA e/o altre imposte e contributi di legge, come riportato nella tabella sottostante:</w:t>
      </w:r>
      <w:r w:rsidR="006E4124">
        <w:rPr>
          <w:rFonts w:asciiTheme="minorHAnsi" w:hAnsiTheme="minorHAnsi"/>
        </w:rPr>
        <w:t xml:space="preserve"> </w:t>
      </w:r>
    </w:p>
    <w:p w:rsidR="0041760C" w:rsidRDefault="0041760C" w:rsidP="00D62C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2518"/>
        <w:gridCol w:w="1496"/>
        <w:gridCol w:w="1496"/>
        <w:gridCol w:w="1496"/>
        <w:gridCol w:w="1496"/>
        <w:gridCol w:w="1497"/>
      </w:tblGrid>
      <w:tr w:rsidR="0041760C" w:rsidRPr="0041760C" w:rsidTr="00CF69AC">
        <w:tc>
          <w:tcPr>
            <w:tcW w:w="2518" w:type="dxa"/>
            <w:shd w:val="clear" w:color="auto" w:fill="8DB3E2" w:themeFill="text2" w:themeFillTint="66"/>
          </w:tcPr>
          <w:p w:rsidR="0041760C" w:rsidRPr="0041760C" w:rsidRDefault="0041760C" w:rsidP="0026467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760C">
              <w:rPr>
                <w:rFonts w:asciiTheme="minorHAnsi" w:hAnsiTheme="minorHAnsi"/>
                <w:b/>
                <w:sz w:val="16"/>
                <w:szCs w:val="16"/>
              </w:rPr>
              <w:t>Pubblicazione</w:t>
            </w:r>
          </w:p>
        </w:tc>
        <w:tc>
          <w:tcPr>
            <w:tcW w:w="1496" w:type="dxa"/>
            <w:shd w:val="clear" w:color="auto" w:fill="8DB3E2" w:themeFill="text2" w:themeFillTint="66"/>
          </w:tcPr>
          <w:p w:rsidR="0041760C" w:rsidRPr="0041760C" w:rsidRDefault="0026467C" w:rsidP="0026467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Stima</w:t>
            </w:r>
          </w:p>
        </w:tc>
        <w:tc>
          <w:tcPr>
            <w:tcW w:w="1496" w:type="dxa"/>
            <w:shd w:val="clear" w:color="auto" w:fill="8DB3E2" w:themeFill="text2" w:themeFillTint="66"/>
          </w:tcPr>
          <w:p w:rsidR="0041760C" w:rsidRPr="0041760C" w:rsidRDefault="0026467C" w:rsidP="0026467C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Unità di misura</w:t>
            </w:r>
          </w:p>
        </w:tc>
        <w:tc>
          <w:tcPr>
            <w:tcW w:w="1496" w:type="dxa"/>
            <w:shd w:val="clear" w:color="auto" w:fill="8DB3E2" w:themeFill="text2" w:themeFillTint="66"/>
          </w:tcPr>
          <w:p w:rsidR="0041760C" w:rsidRPr="0041760C" w:rsidRDefault="0026467C" w:rsidP="00F41812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Base d’asta</w:t>
            </w:r>
          </w:p>
        </w:tc>
        <w:tc>
          <w:tcPr>
            <w:tcW w:w="1496" w:type="dxa"/>
            <w:shd w:val="clear" w:color="auto" w:fill="8DB3E2" w:themeFill="text2" w:themeFillTint="66"/>
          </w:tcPr>
          <w:p w:rsidR="0041760C" w:rsidRPr="0041760C" w:rsidRDefault="0026467C" w:rsidP="00F41812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Prezzo fisso</w:t>
            </w:r>
          </w:p>
        </w:tc>
        <w:tc>
          <w:tcPr>
            <w:tcW w:w="1497" w:type="dxa"/>
            <w:shd w:val="clear" w:color="auto" w:fill="8DB3E2" w:themeFill="text2" w:themeFillTint="66"/>
          </w:tcPr>
          <w:p w:rsidR="0041760C" w:rsidRPr="0041760C" w:rsidRDefault="0026467C" w:rsidP="00F41812">
            <w:pPr>
              <w:widowControl/>
              <w:tabs>
                <w:tab w:val="left" w:pos="784"/>
              </w:tabs>
              <w:autoSpaceDE/>
              <w:autoSpaceDN/>
              <w:ind w:righ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Importo totale</w:t>
            </w:r>
          </w:p>
        </w:tc>
      </w:tr>
      <w:tr w:rsidR="00E454CA" w:rsidRPr="0041760C" w:rsidTr="00CF69AC">
        <w:tc>
          <w:tcPr>
            <w:tcW w:w="2518" w:type="dxa"/>
          </w:tcPr>
          <w:p w:rsidR="00E454CA" w:rsidRPr="0041760C" w:rsidRDefault="00E454CA" w:rsidP="00D2452B">
            <w:pPr>
              <w:widowControl/>
              <w:tabs>
                <w:tab w:val="left" w:pos="784"/>
              </w:tabs>
              <w:autoSpaceDE/>
              <w:autoSpaceDN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GURI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12.754,88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12.754,88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12.754,88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12.754,88</w:t>
            </w:r>
          </w:p>
        </w:tc>
        <w:tc>
          <w:tcPr>
            <w:tcW w:w="1497" w:type="dxa"/>
          </w:tcPr>
          <w:p w:rsidR="00E454CA" w:rsidRPr="007A66F6" w:rsidRDefault="00E454CA" w:rsidP="00F34925">
            <w:r w:rsidRPr="007A66F6">
              <w:t>12.754,88</w:t>
            </w:r>
          </w:p>
        </w:tc>
      </w:tr>
      <w:tr w:rsidR="00E454CA" w:rsidRPr="0041760C" w:rsidTr="00CF69AC">
        <w:tc>
          <w:tcPr>
            <w:tcW w:w="2518" w:type="dxa"/>
            <w:tcBorders>
              <w:bottom w:val="single" w:sz="4" w:space="0" w:color="auto"/>
            </w:tcBorders>
          </w:tcPr>
          <w:p w:rsidR="00E454CA" w:rsidRPr="0041760C" w:rsidRDefault="00E454CA" w:rsidP="00D2452B">
            <w:pPr>
              <w:widowControl/>
              <w:tabs>
                <w:tab w:val="left" w:pos="784"/>
              </w:tabs>
              <w:autoSpaceDE/>
              <w:autoSpaceDN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Quotidiani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454CA" w:rsidRPr="007A66F6" w:rsidRDefault="00E454CA" w:rsidP="00F34925">
            <w:r w:rsidRPr="007A66F6">
              <w:t>40.800,00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454CA" w:rsidRPr="007A66F6" w:rsidRDefault="00E454CA" w:rsidP="00F34925">
            <w:r w:rsidRPr="007A66F6">
              <w:t>40.800,00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454CA" w:rsidRPr="007A66F6" w:rsidRDefault="00E454CA" w:rsidP="00F34925">
            <w:r w:rsidRPr="007A66F6">
              <w:t>40.800,00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454CA" w:rsidRPr="007A66F6" w:rsidRDefault="00E454CA" w:rsidP="00F34925">
            <w:r w:rsidRPr="007A66F6">
              <w:t>40.800,00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454CA" w:rsidRPr="007A66F6" w:rsidRDefault="00E454CA" w:rsidP="00F34925">
            <w:r w:rsidRPr="007A66F6">
              <w:t>40.800,00</w:t>
            </w:r>
          </w:p>
        </w:tc>
      </w:tr>
      <w:tr w:rsidR="00E454CA" w:rsidRPr="0041760C" w:rsidTr="00CF69AC">
        <w:tc>
          <w:tcPr>
            <w:tcW w:w="2518" w:type="dxa"/>
          </w:tcPr>
          <w:p w:rsidR="00E454CA" w:rsidRPr="0041760C" w:rsidRDefault="00E454CA" w:rsidP="00CF69AC">
            <w:pPr>
              <w:widowControl/>
              <w:tabs>
                <w:tab w:val="left" w:pos="784"/>
              </w:tabs>
              <w:autoSpaceDE/>
              <w:autoSpaceDN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Predisposizione grafica/editoriale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3.900,00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3.900,00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3.900,00</w:t>
            </w:r>
          </w:p>
        </w:tc>
        <w:tc>
          <w:tcPr>
            <w:tcW w:w="1496" w:type="dxa"/>
          </w:tcPr>
          <w:p w:rsidR="00E454CA" w:rsidRPr="007A66F6" w:rsidRDefault="00E454CA" w:rsidP="00F34925">
            <w:r w:rsidRPr="007A66F6">
              <w:t>3.900,00</w:t>
            </w:r>
          </w:p>
        </w:tc>
        <w:tc>
          <w:tcPr>
            <w:tcW w:w="1497" w:type="dxa"/>
          </w:tcPr>
          <w:p w:rsidR="00E454CA" w:rsidRPr="007A66F6" w:rsidRDefault="00E454CA" w:rsidP="00F34925">
            <w:r w:rsidRPr="007A66F6">
              <w:t>3.900,00</w:t>
            </w:r>
          </w:p>
        </w:tc>
      </w:tr>
      <w:tr w:rsidR="00E454CA" w:rsidRPr="0041760C" w:rsidTr="00AA14AC">
        <w:tc>
          <w:tcPr>
            <w:tcW w:w="8502" w:type="dxa"/>
            <w:gridSpan w:val="5"/>
          </w:tcPr>
          <w:p w:rsidR="00E454CA" w:rsidRPr="0041760C" w:rsidRDefault="00E454CA" w:rsidP="00D2452B">
            <w:pPr>
              <w:widowControl/>
              <w:tabs>
                <w:tab w:val="left" w:pos="784"/>
              </w:tabs>
              <w:autoSpaceDE/>
              <w:autoSpaceDN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TOTALE</w:t>
            </w:r>
          </w:p>
        </w:tc>
        <w:tc>
          <w:tcPr>
            <w:tcW w:w="1497" w:type="dxa"/>
          </w:tcPr>
          <w:p w:rsidR="00E454CA" w:rsidRDefault="00E454CA" w:rsidP="00F34925">
            <w:r w:rsidRPr="007A66F6">
              <w:t>57.454,88</w:t>
            </w:r>
          </w:p>
        </w:tc>
      </w:tr>
    </w:tbl>
    <w:p w:rsidR="006E4124" w:rsidRDefault="006E4124" w:rsidP="00652455">
      <w:pPr>
        <w:pStyle w:val="Corpotesto"/>
        <w:ind w:left="1468" w:right="236"/>
        <w:jc w:val="both"/>
        <w:rPr>
          <w:rFonts w:asciiTheme="minorHAnsi" w:hAnsiTheme="minorHAnsi" w:cstheme="minorHAnsi"/>
        </w:rPr>
      </w:pPr>
    </w:p>
    <w:p w:rsidR="00CA629A" w:rsidRDefault="007D5341" w:rsidP="00C7549C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Si precisa che il corrispettivo che verrà pagato al fornitore si baserà in ogni caso </w:t>
      </w:r>
      <w:r w:rsidR="006E4124">
        <w:rPr>
          <w:rFonts w:asciiTheme="minorHAnsi" w:hAnsiTheme="minorHAnsi"/>
        </w:rPr>
        <w:t>sul pr</w:t>
      </w:r>
      <w:r w:rsidR="00CF69AC">
        <w:rPr>
          <w:rFonts w:asciiTheme="minorHAnsi" w:hAnsiTheme="minorHAnsi"/>
        </w:rPr>
        <w:t xml:space="preserve">eventivo redatto dal fornitore </w:t>
      </w:r>
      <w:r w:rsidR="006E4124">
        <w:rPr>
          <w:rFonts w:asciiTheme="minorHAnsi" w:hAnsiTheme="minorHAnsi"/>
        </w:rPr>
        <w:t>medesimo per la singola pubblicazione, approvato dalla Stazione appaltante</w:t>
      </w:r>
      <w:r w:rsidR="00C7549C">
        <w:rPr>
          <w:rFonts w:asciiTheme="minorHAnsi" w:hAnsiTheme="minorHAnsi"/>
        </w:rPr>
        <w:t>.</w:t>
      </w: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p w:rsidR="00CA629A" w:rsidRPr="00C7549C" w:rsidRDefault="007D5341" w:rsidP="00C7549C">
      <w:pPr>
        <w:pStyle w:val="Titolo2"/>
      </w:pPr>
      <w:bookmarkStart w:id="10" w:name="_Toc19164817"/>
      <w:r w:rsidRPr="00C7549C">
        <w:t>Valore stimato dell’appalto</w:t>
      </w:r>
      <w:bookmarkEnd w:id="10"/>
    </w:p>
    <w:p w:rsidR="00784071" w:rsidRDefault="00784071" w:rsidP="00C7549C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Default="007D534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lastRenderedPageBreak/>
        <w:t>In considerazione della tipologia delle attività oggetto dell’affidamento, ai sensi dell’art.</w:t>
      </w:r>
      <w:r w:rsidR="00784071">
        <w:rPr>
          <w:rFonts w:asciiTheme="minorHAnsi" w:hAnsiTheme="minorHAnsi"/>
        </w:rPr>
        <w:t xml:space="preserve"> </w:t>
      </w:r>
      <w:r w:rsidRPr="009A0C01">
        <w:rPr>
          <w:rFonts w:asciiTheme="minorHAnsi" w:hAnsiTheme="minorHAnsi"/>
        </w:rPr>
        <w:t>95, comma 10 del Codice e della determinazione ANAC n.3 del 05.03.2008, gli oneri della sicurezza per rischi da interferenze sono pari a zero in quanto il servizio oggetto della gara concerne un’attività di natura intellettuale e lo stesso non viene effettuato presso la sede della Stazione appaltante. Pertanto, non sussistendo condizioni di interferenza, non è stato predisposto il Documento Unico di Valutazione dei Rischi (DUVRI).</w:t>
      </w:r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A0C01">
        <w:rPr>
          <w:rFonts w:asciiTheme="minorHAnsi" w:hAnsiTheme="minorHAnsi"/>
        </w:rPr>
        <w:t xml:space="preserve">ertanto l’importo stimato </w:t>
      </w:r>
      <w:r>
        <w:rPr>
          <w:rFonts w:asciiTheme="minorHAnsi" w:hAnsiTheme="minorHAnsi"/>
        </w:rPr>
        <w:t xml:space="preserve">complessivo </w:t>
      </w:r>
      <w:r w:rsidRPr="009A0C01">
        <w:rPr>
          <w:rFonts w:asciiTheme="minorHAnsi" w:hAnsiTheme="minorHAnsi"/>
        </w:rPr>
        <w:t xml:space="preserve">dell’appalto </w:t>
      </w:r>
      <w:r>
        <w:rPr>
          <w:rFonts w:asciiTheme="minorHAnsi" w:hAnsiTheme="minorHAnsi"/>
        </w:rPr>
        <w:t>risulta</w:t>
      </w:r>
      <w:r w:rsidRPr="009A0C01">
        <w:rPr>
          <w:rFonts w:asciiTheme="minorHAnsi" w:hAnsiTheme="minorHAnsi"/>
        </w:rPr>
        <w:t xml:space="preserve"> pari a </w:t>
      </w:r>
      <w:r w:rsidR="00276C94" w:rsidRPr="00276C94">
        <w:rPr>
          <w:rFonts w:asciiTheme="minorHAnsi" w:hAnsiTheme="minorHAnsi"/>
        </w:rPr>
        <w:t>€ 57.454,88 = (cinquantasette quattrocento cinquantaquattro/88)</w:t>
      </w:r>
      <w:r w:rsidRPr="009A0C01">
        <w:rPr>
          <w:rFonts w:asciiTheme="minorHAnsi" w:hAnsiTheme="minorHAnsi"/>
        </w:rPr>
        <w:t xml:space="preserve"> al netto di IVA e/o altre imposte e contributi di legge</w:t>
      </w:r>
      <w:r>
        <w:rPr>
          <w:rFonts w:asciiTheme="minorHAnsi" w:hAnsiTheme="minorHAnsi"/>
        </w:rPr>
        <w:t>.</w:t>
      </w:r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Inoltre, stante la natura intellettuale del servizio, </w:t>
      </w:r>
      <w:r>
        <w:rPr>
          <w:rFonts w:asciiTheme="minorHAnsi" w:hAnsiTheme="minorHAnsi"/>
        </w:rPr>
        <w:t xml:space="preserve">i concorrenti </w:t>
      </w:r>
      <w:r w:rsidRPr="009A0C01">
        <w:rPr>
          <w:rFonts w:asciiTheme="minorHAnsi" w:hAnsiTheme="minorHAnsi"/>
        </w:rPr>
        <w:t xml:space="preserve">non dovranno indicare nell’offerta i costi della manodopera, </w:t>
      </w:r>
      <w:proofErr w:type="gramStart"/>
      <w:r w:rsidRPr="009A0C01">
        <w:rPr>
          <w:rFonts w:asciiTheme="minorHAnsi" w:hAnsiTheme="minorHAnsi"/>
        </w:rPr>
        <w:t>nei rispetto</w:t>
      </w:r>
      <w:proofErr w:type="gramEnd"/>
      <w:r w:rsidRPr="009A0C01">
        <w:rPr>
          <w:rFonts w:asciiTheme="minorHAnsi" w:hAnsiTheme="minorHAnsi"/>
        </w:rPr>
        <w:t xml:space="preserve"> di quanto previsto nella delibera ANAC n.1228 del 22.11.2017.</w:t>
      </w:r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784071" w:rsidRDefault="00CC0CD2" w:rsidP="00CC0CD2">
      <w:pPr>
        <w:pStyle w:val="Titolo1"/>
      </w:pPr>
      <w:bookmarkStart w:id="11" w:name="_Toc19164818"/>
      <w:r>
        <w:t xml:space="preserve">III - </w:t>
      </w:r>
      <w:r w:rsidR="00CF69AC">
        <w:t>Prospetto economico degli oneri complessi</w:t>
      </w:r>
      <w:r>
        <w:t>VI</w:t>
      </w:r>
      <w:r w:rsidR="00CF69AC">
        <w:t xml:space="preserve"> necessari per l’acquisizione del servizio</w:t>
      </w:r>
      <w:bookmarkEnd w:id="11"/>
    </w:p>
    <w:p w:rsidR="00784071" w:rsidRDefault="00784071" w:rsidP="00784071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CA629A" w:rsidRPr="009A0C01" w:rsidRDefault="007D5341" w:rsidP="00CC0CD2">
      <w:pPr>
        <w:widowControl/>
        <w:autoSpaceDE/>
        <w:autoSpaceDN/>
        <w:jc w:val="both"/>
        <w:rPr>
          <w:rFonts w:asciiTheme="minorHAnsi" w:hAnsiTheme="minorHAnsi"/>
        </w:rPr>
      </w:pPr>
      <w:r w:rsidRPr="009A0C01">
        <w:rPr>
          <w:rFonts w:asciiTheme="minorHAnsi" w:hAnsiTheme="minorHAnsi"/>
        </w:rPr>
        <w:t xml:space="preserve">L’importo stimato degli oneri complessivi necessari per l’acquisizione del servizio, a carico della stazione appaltante è pari a </w:t>
      </w:r>
      <w:r w:rsidR="00926529" w:rsidRPr="00926529">
        <w:rPr>
          <w:rFonts w:asciiTheme="minorHAnsi" w:hAnsiTheme="minorHAnsi"/>
          <w:b/>
        </w:rPr>
        <w:t>€ 71.294,95</w:t>
      </w:r>
      <w:r w:rsidR="00926529">
        <w:rPr>
          <w:rFonts w:asciiTheme="minorHAnsi" w:hAnsiTheme="minorHAnsi"/>
          <w:b/>
        </w:rPr>
        <w:t xml:space="preserve"> </w:t>
      </w:r>
      <w:r w:rsidR="00784071">
        <w:rPr>
          <w:rFonts w:asciiTheme="minorHAnsi" w:hAnsiTheme="minorHAnsi"/>
          <w:b/>
        </w:rPr>
        <w:t>=</w:t>
      </w:r>
      <w:r w:rsidRPr="009A0C01">
        <w:rPr>
          <w:rFonts w:asciiTheme="minorHAnsi" w:hAnsiTheme="minorHAnsi"/>
          <w:b/>
        </w:rPr>
        <w:t xml:space="preserve"> </w:t>
      </w:r>
      <w:r w:rsidRPr="009A0C01">
        <w:rPr>
          <w:rFonts w:asciiTheme="minorHAnsi" w:hAnsiTheme="minorHAnsi"/>
        </w:rPr>
        <w:t>(</w:t>
      </w:r>
      <w:r w:rsidR="00926529">
        <w:rPr>
          <w:rFonts w:asciiTheme="minorHAnsi" w:hAnsiTheme="minorHAnsi"/>
        </w:rPr>
        <w:t>settantunomila duecento novantaquattro/95</w:t>
      </w:r>
      <w:r w:rsidRPr="009A0C01">
        <w:rPr>
          <w:rFonts w:asciiTheme="minorHAnsi" w:hAnsiTheme="minorHAnsi"/>
        </w:rPr>
        <w:t>), come risultante da</w:t>
      </w:r>
      <w:r w:rsidR="00B36ED8">
        <w:rPr>
          <w:rFonts w:asciiTheme="minorHAnsi" w:hAnsiTheme="minorHAnsi"/>
        </w:rPr>
        <w:t>lle</w:t>
      </w:r>
      <w:r w:rsidRPr="009A0C01">
        <w:rPr>
          <w:rFonts w:asciiTheme="minorHAnsi" w:hAnsiTheme="minorHAnsi"/>
        </w:rPr>
        <w:t xml:space="preserve"> voci e </w:t>
      </w:r>
      <w:r w:rsidR="00B36ED8">
        <w:rPr>
          <w:rFonts w:asciiTheme="minorHAnsi" w:hAnsiTheme="minorHAnsi"/>
        </w:rPr>
        <w:t xml:space="preserve">dagli </w:t>
      </w:r>
      <w:r w:rsidRPr="009A0C01">
        <w:rPr>
          <w:rFonts w:asciiTheme="minorHAnsi" w:hAnsiTheme="minorHAnsi"/>
        </w:rPr>
        <w:t xml:space="preserve">importi riportanti </w:t>
      </w:r>
      <w:r w:rsidR="00B36ED8">
        <w:rPr>
          <w:rFonts w:asciiTheme="minorHAnsi" w:hAnsiTheme="minorHAnsi"/>
        </w:rPr>
        <w:t>in</w:t>
      </w:r>
      <w:r w:rsidRPr="009A0C01">
        <w:rPr>
          <w:rFonts w:asciiTheme="minorHAnsi" w:hAnsiTheme="minorHAnsi"/>
        </w:rPr>
        <w:t xml:space="preserve"> tabella</w:t>
      </w:r>
      <w:r w:rsidR="00784071">
        <w:rPr>
          <w:rFonts w:asciiTheme="minorHAnsi" w:hAnsiTheme="minorHAnsi"/>
        </w:rPr>
        <w:t>:</w:t>
      </w:r>
    </w:p>
    <w:p w:rsidR="00CA629A" w:rsidRPr="009A0C01" w:rsidRDefault="00CA629A" w:rsidP="00652455">
      <w:pPr>
        <w:pStyle w:val="Corpotesto"/>
        <w:rPr>
          <w:rFonts w:asciiTheme="minorHAnsi" w:hAnsiTheme="minorHAnsi" w:cstheme="minorHAnsi"/>
        </w:rPr>
      </w:pPr>
    </w:p>
    <w:tbl>
      <w:tblPr>
        <w:tblStyle w:val="TableNormal1"/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608"/>
        <w:gridCol w:w="1559"/>
      </w:tblGrid>
      <w:tr w:rsidR="00CA629A" w:rsidRPr="009A0C01" w:rsidTr="00CC0CD2">
        <w:trPr>
          <w:trHeight w:val="20"/>
          <w:jc w:val="center"/>
        </w:trPr>
        <w:tc>
          <w:tcPr>
            <w:tcW w:w="814" w:type="dxa"/>
            <w:shd w:val="clear" w:color="auto" w:fill="D9D9D9"/>
          </w:tcPr>
          <w:p w:rsidR="00CA629A" w:rsidRPr="009A0C01" w:rsidRDefault="00B36ED8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7608" w:type="dxa"/>
            <w:shd w:val="clear" w:color="auto" w:fill="D9D9D9"/>
          </w:tcPr>
          <w:p w:rsidR="00CA629A" w:rsidRPr="009A0C01" w:rsidRDefault="007D5341" w:rsidP="00B36ED8">
            <w:pPr>
              <w:pStyle w:val="TableParagraph"/>
              <w:ind w:left="1945" w:right="1938"/>
              <w:jc w:val="center"/>
              <w:rPr>
                <w:rFonts w:asciiTheme="minorHAnsi" w:hAnsiTheme="minorHAnsi" w:cstheme="minorHAnsi"/>
                <w:b/>
              </w:rPr>
            </w:pPr>
            <w:r w:rsidRPr="009A0C01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559" w:type="dxa"/>
            <w:shd w:val="clear" w:color="auto" w:fill="D9D9D9"/>
          </w:tcPr>
          <w:p w:rsidR="00CA629A" w:rsidRPr="009A0C01" w:rsidRDefault="00B36ED8" w:rsidP="00B36E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Importo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A0C01">
              <w:rPr>
                <w:rFonts w:asciiTheme="minorHAnsi" w:hAnsiTheme="minorHAnsi" w:cstheme="minorHAnsi"/>
              </w:rPr>
              <w:t>Importo complessivo stimato dell’appalto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€ 57.454,88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€ 12.640,07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Bollo su pubblicazioni Gazzetta Ufficiale della Repubblica italiana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€ 1.200,00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A0C01">
              <w:rPr>
                <w:rFonts w:asciiTheme="minorHAnsi" w:hAnsiTheme="minorHAnsi" w:cstheme="minorHAnsi"/>
              </w:rPr>
              <w:t>Spese per commissioni giudicatrici/Seggi di gara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€ 0,00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08" w:type="dxa"/>
          </w:tcPr>
          <w:p w:rsidR="00926529" w:rsidRPr="009A0C01" w:rsidRDefault="00926529" w:rsidP="0092652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A0C01">
              <w:rPr>
                <w:rFonts w:asciiTheme="minorHAnsi" w:hAnsiTheme="minorHAnsi" w:cstheme="minorHAnsi"/>
              </w:rPr>
              <w:t xml:space="preserve">Contributo ANAC </w:t>
            </w:r>
            <w:r>
              <w:rPr>
                <w:rFonts w:asciiTheme="minorHAnsi" w:hAnsiTheme="minorHAnsi" w:cstheme="minorHAnsi"/>
              </w:rPr>
              <w:t xml:space="preserve">in base al comunicato del </w:t>
            </w:r>
            <w:r w:rsidRPr="00926529">
              <w:rPr>
                <w:rFonts w:asciiTheme="minorHAnsi" w:hAnsiTheme="minorHAnsi" w:cstheme="minorHAnsi"/>
              </w:rPr>
              <w:t>presidente dell'ANAC del 20 maggio 2020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€ 0,00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A0C01">
              <w:rPr>
                <w:rFonts w:asciiTheme="minorHAnsi" w:hAnsiTheme="minorHAnsi" w:cstheme="minorHAnsi"/>
              </w:rPr>
              <w:t>Spese per pubblicità</w:t>
            </w:r>
          </w:p>
        </w:tc>
        <w:tc>
          <w:tcPr>
            <w:tcW w:w="1559" w:type="dxa"/>
          </w:tcPr>
          <w:p w:rsidR="00926529" w:rsidRPr="00022039" w:rsidRDefault="00926529" w:rsidP="002913FC">
            <w:r w:rsidRPr="00022039">
              <w:t>€ 0,00</w:t>
            </w:r>
          </w:p>
        </w:tc>
      </w:tr>
      <w:tr w:rsidR="00926529" w:rsidRPr="009A0C01" w:rsidTr="00CC0CD2">
        <w:trPr>
          <w:trHeight w:val="20"/>
          <w:jc w:val="center"/>
        </w:trPr>
        <w:tc>
          <w:tcPr>
            <w:tcW w:w="814" w:type="dxa"/>
          </w:tcPr>
          <w:p w:rsidR="00926529" w:rsidRPr="009A0C01" w:rsidRDefault="00926529" w:rsidP="00B36ED8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7608" w:type="dxa"/>
          </w:tcPr>
          <w:p w:rsidR="00926529" w:rsidRPr="009A0C01" w:rsidRDefault="00926529" w:rsidP="00B36ED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9A0C01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559" w:type="dxa"/>
          </w:tcPr>
          <w:p w:rsidR="00926529" w:rsidRDefault="00926529" w:rsidP="002913FC">
            <w:r w:rsidRPr="00022039">
              <w:t>€ 71.294,95</w:t>
            </w:r>
          </w:p>
        </w:tc>
      </w:tr>
    </w:tbl>
    <w:p w:rsidR="00CA629A" w:rsidRDefault="00CA629A" w:rsidP="00E82EFD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</w:p>
    <w:p w:rsidR="00E82EFD" w:rsidRPr="009A0C01" w:rsidRDefault="00E82EFD" w:rsidP="00E82EFD">
      <w:pPr>
        <w:widowControl/>
        <w:tabs>
          <w:tab w:val="left" w:pos="784"/>
        </w:tabs>
        <w:autoSpaceDE/>
        <w:autoSpaceDN/>
        <w:ind w:left="425"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Responsabile Unico del Procedimento</w:t>
      </w:r>
    </w:p>
    <w:sectPr w:rsidR="00E82EFD" w:rsidRPr="009A0C01" w:rsidSect="00652455">
      <w:pgSz w:w="11910" w:h="16840"/>
      <w:pgMar w:top="567" w:right="851" w:bottom="567" w:left="851" w:header="768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7E" w:rsidRDefault="0047117E">
      <w:r>
        <w:separator/>
      </w:r>
    </w:p>
  </w:endnote>
  <w:endnote w:type="continuationSeparator" w:id="0">
    <w:p w:rsidR="0047117E" w:rsidRDefault="0047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A" w:rsidRDefault="00CA629A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A" w:rsidRDefault="00CA629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7E" w:rsidRDefault="0047117E">
      <w:r>
        <w:separator/>
      </w:r>
    </w:p>
  </w:footnote>
  <w:footnote w:type="continuationSeparator" w:id="0">
    <w:p w:rsidR="0047117E" w:rsidRDefault="0047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A" w:rsidRDefault="00CA629A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A" w:rsidRDefault="00CA629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C1A"/>
    <w:multiLevelType w:val="hybridMultilevel"/>
    <w:tmpl w:val="27FC5866"/>
    <w:lvl w:ilvl="0" w:tplc="9A96E1B6">
      <w:start w:val="1"/>
      <w:numFmt w:val="lowerLetter"/>
      <w:lvlText w:val="%1)"/>
      <w:lvlJc w:val="left"/>
      <w:pPr>
        <w:ind w:left="1826" w:hanging="35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A6DAA888">
      <w:start w:val="1"/>
      <w:numFmt w:val="lowerLetter"/>
      <w:lvlText w:val="%2)"/>
      <w:lvlJc w:val="left"/>
      <w:pPr>
        <w:ind w:left="1826" w:hanging="35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2" w:tplc="087AA06E">
      <w:numFmt w:val="bullet"/>
      <w:lvlText w:val="•"/>
      <w:lvlJc w:val="left"/>
      <w:pPr>
        <w:ind w:left="3469" w:hanging="358"/>
      </w:pPr>
      <w:rPr>
        <w:rFonts w:hint="default"/>
        <w:lang w:val="it-IT" w:eastAsia="it-IT" w:bidi="it-IT"/>
      </w:rPr>
    </w:lvl>
    <w:lvl w:ilvl="3" w:tplc="1BB2E6C8">
      <w:numFmt w:val="bullet"/>
      <w:lvlText w:val="•"/>
      <w:lvlJc w:val="left"/>
      <w:pPr>
        <w:ind w:left="4293" w:hanging="358"/>
      </w:pPr>
      <w:rPr>
        <w:rFonts w:hint="default"/>
        <w:lang w:val="it-IT" w:eastAsia="it-IT" w:bidi="it-IT"/>
      </w:rPr>
    </w:lvl>
    <w:lvl w:ilvl="4" w:tplc="4606D0EA">
      <w:numFmt w:val="bullet"/>
      <w:lvlText w:val="•"/>
      <w:lvlJc w:val="left"/>
      <w:pPr>
        <w:ind w:left="5118" w:hanging="358"/>
      </w:pPr>
      <w:rPr>
        <w:rFonts w:hint="default"/>
        <w:lang w:val="it-IT" w:eastAsia="it-IT" w:bidi="it-IT"/>
      </w:rPr>
    </w:lvl>
    <w:lvl w:ilvl="5" w:tplc="1D0E16C4">
      <w:numFmt w:val="bullet"/>
      <w:lvlText w:val="•"/>
      <w:lvlJc w:val="left"/>
      <w:pPr>
        <w:ind w:left="5943" w:hanging="358"/>
      </w:pPr>
      <w:rPr>
        <w:rFonts w:hint="default"/>
        <w:lang w:val="it-IT" w:eastAsia="it-IT" w:bidi="it-IT"/>
      </w:rPr>
    </w:lvl>
    <w:lvl w:ilvl="6" w:tplc="B934726C">
      <w:numFmt w:val="bullet"/>
      <w:lvlText w:val="•"/>
      <w:lvlJc w:val="left"/>
      <w:pPr>
        <w:ind w:left="6767" w:hanging="358"/>
      </w:pPr>
      <w:rPr>
        <w:rFonts w:hint="default"/>
        <w:lang w:val="it-IT" w:eastAsia="it-IT" w:bidi="it-IT"/>
      </w:rPr>
    </w:lvl>
    <w:lvl w:ilvl="7" w:tplc="34FE6414">
      <w:numFmt w:val="bullet"/>
      <w:lvlText w:val="•"/>
      <w:lvlJc w:val="left"/>
      <w:pPr>
        <w:ind w:left="7592" w:hanging="358"/>
      </w:pPr>
      <w:rPr>
        <w:rFonts w:hint="default"/>
        <w:lang w:val="it-IT" w:eastAsia="it-IT" w:bidi="it-IT"/>
      </w:rPr>
    </w:lvl>
    <w:lvl w:ilvl="8" w:tplc="EC3AEB16">
      <w:numFmt w:val="bullet"/>
      <w:lvlText w:val="•"/>
      <w:lvlJc w:val="left"/>
      <w:pPr>
        <w:ind w:left="8417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26E3083F"/>
    <w:multiLevelType w:val="hybridMultilevel"/>
    <w:tmpl w:val="3098B958"/>
    <w:lvl w:ilvl="0" w:tplc="E4F63744">
      <w:numFmt w:val="bullet"/>
      <w:lvlText w:val=""/>
      <w:lvlJc w:val="left"/>
      <w:pPr>
        <w:ind w:left="1826" w:hanging="358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9BA20BC">
      <w:numFmt w:val="bullet"/>
      <w:lvlText w:val="•"/>
      <w:lvlJc w:val="left"/>
      <w:pPr>
        <w:ind w:left="2644" w:hanging="358"/>
      </w:pPr>
      <w:rPr>
        <w:rFonts w:hint="default"/>
        <w:lang w:val="it-IT" w:eastAsia="it-IT" w:bidi="it-IT"/>
      </w:rPr>
    </w:lvl>
    <w:lvl w:ilvl="2" w:tplc="1812C7B0">
      <w:numFmt w:val="bullet"/>
      <w:lvlText w:val="•"/>
      <w:lvlJc w:val="left"/>
      <w:pPr>
        <w:ind w:left="3469" w:hanging="358"/>
      </w:pPr>
      <w:rPr>
        <w:rFonts w:hint="default"/>
        <w:lang w:val="it-IT" w:eastAsia="it-IT" w:bidi="it-IT"/>
      </w:rPr>
    </w:lvl>
    <w:lvl w:ilvl="3" w:tplc="59BE3D80">
      <w:numFmt w:val="bullet"/>
      <w:lvlText w:val="•"/>
      <w:lvlJc w:val="left"/>
      <w:pPr>
        <w:ind w:left="4293" w:hanging="358"/>
      </w:pPr>
      <w:rPr>
        <w:rFonts w:hint="default"/>
        <w:lang w:val="it-IT" w:eastAsia="it-IT" w:bidi="it-IT"/>
      </w:rPr>
    </w:lvl>
    <w:lvl w:ilvl="4" w:tplc="E93C2312">
      <w:numFmt w:val="bullet"/>
      <w:lvlText w:val="•"/>
      <w:lvlJc w:val="left"/>
      <w:pPr>
        <w:ind w:left="5118" w:hanging="358"/>
      </w:pPr>
      <w:rPr>
        <w:rFonts w:hint="default"/>
        <w:lang w:val="it-IT" w:eastAsia="it-IT" w:bidi="it-IT"/>
      </w:rPr>
    </w:lvl>
    <w:lvl w:ilvl="5" w:tplc="EBFCB278">
      <w:numFmt w:val="bullet"/>
      <w:lvlText w:val="•"/>
      <w:lvlJc w:val="left"/>
      <w:pPr>
        <w:ind w:left="5943" w:hanging="358"/>
      </w:pPr>
      <w:rPr>
        <w:rFonts w:hint="default"/>
        <w:lang w:val="it-IT" w:eastAsia="it-IT" w:bidi="it-IT"/>
      </w:rPr>
    </w:lvl>
    <w:lvl w:ilvl="6" w:tplc="35264C0A">
      <w:numFmt w:val="bullet"/>
      <w:lvlText w:val="•"/>
      <w:lvlJc w:val="left"/>
      <w:pPr>
        <w:ind w:left="6767" w:hanging="358"/>
      </w:pPr>
      <w:rPr>
        <w:rFonts w:hint="default"/>
        <w:lang w:val="it-IT" w:eastAsia="it-IT" w:bidi="it-IT"/>
      </w:rPr>
    </w:lvl>
    <w:lvl w:ilvl="7" w:tplc="859AD61E">
      <w:numFmt w:val="bullet"/>
      <w:lvlText w:val="•"/>
      <w:lvlJc w:val="left"/>
      <w:pPr>
        <w:ind w:left="7592" w:hanging="358"/>
      </w:pPr>
      <w:rPr>
        <w:rFonts w:hint="default"/>
        <w:lang w:val="it-IT" w:eastAsia="it-IT" w:bidi="it-IT"/>
      </w:rPr>
    </w:lvl>
    <w:lvl w:ilvl="8" w:tplc="F1A85A9E">
      <w:numFmt w:val="bullet"/>
      <w:lvlText w:val="•"/>
      <w:lvlJc w:val="left"/>
      <w:pPr>
        <w:ind w:left="8417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2EE40FE0"/>
    <w:multiLevelType w:val="hybridMultilevel"/>
    <w:tmpl w:val="25185F12"/>
    <w:lvl w:ilvl="0" w:tplc="04100013">
      <w:start w:val="1"/>
      <w:numFmt w:val="upperRoman"/>
      <w:lvlText w:val="%1."/>
      <w:lvlJc w:val="right"/>
      <w:pPr>
        <w:ind w:left="1826" w:hanging="358"/>
      </w:pPr>
      <w:rPr>
        <w:rFonts w:hint="default"/>
        <w:w w:val="100"/>
        <w:sz w:val="20"/>
        <w:szCs w:val="20"/>
        <w:lang w:val="it-IT" w:eastAsia="it-IT" w:bidi="it-IT"/>
      </w:rPr>
    </w:lvl>
    <w:lvl w:ilvl="1" w:tplc="40206D14">
      <w:numFmt w:val="bullet"/>
      <w:lvlText w:val="•"/>
      <w:lvlJc w:val="left"/>
      <w:pPr>
        <w:ind w:left="2644" w:hanging="358"/>
      </w:pPr>
      <w:rPr>
        <w:rFonts w:hint="default"/>
        <w:lang w:val="it-IT" w:eastAsia="it-IT" w:bidi="it-IT"/>
      </w:rPr>
    </w:lvl>
    <w:lvl w:ilvl="2" w:tplc="32D202FA">
      <w:numFmt w:val="bullet"/>
      <w:lvlText w:val="•"/>
      <w:lvlJc w:val="left"/>
      <w:pPr>
        <w:ind w:left="3469" w:hanging="358"/>
      </w:pPr>
      <w:rPr>
        <w:rFonts w:hint="default"/>
        <w:lang w:val="it-IT" w:eastAsia="it-IT" w:bidi="it-IT"/>
      </w:rPr>
    </w:lvl>
    <w:lvl w:ilvl="3" w:tplc="74E2A378">
      <w:numFmt w:val="bullet"/>
      <w:lvlText w:val="•"/>
      <w:lvlJc w:val="left"/>
      <w:pPr>
        <w:ind w:left="4293" w:hanging="358"/>
      </w:pPr>
      <w:rPr>
        <w:rFonts w:hint="default"/>
        <w:lang w:val="it-IT" w:eastAsia="it-IT" w:bidi="it-IT"/>
      </w:rPr>
    </w:lvl>
    <w:lvl w:ilvl="4" w:tplc="B3322038">
      <w:numFmt w:val="bullet"/>
      <w:lvlText w:val="•"/>
      <w:lvlJc w:val="left"/>
      <w:pPr>
        <w:ind w:left="5118" w:hanging="358"/>
      </w:pPr>
      <w:rPr>
        <w:rFonts w:hint="default"/>
        <w:lang w:val="it-IT" w:eastAsia="it-IT" w:bidi="it-IT"/>
      </w:rPr>
    </w:lvl>
    <w:lvl w:ilvl="5" w:tplc="87320822">
      <w:numFmt w:val="bullet"/>
      <w:lvlText w:val="•"/>
      <w:lvlJc w:val="left"/>
      <w:pPr>
        <w:ind w:left="5943" w:hanging="358"/>
      </w:pPr>
      <w:rPr>
        <w:rFonts w:hint="default"/>
        <w:lang w:val="it-IT" w:eastAsia="it-IT" w:bidi="it-IT"/>
      </w:rPr>
    </w:lvl>
    <w:lvl w:ilvl="6" w:tplc="4D228A24">
      <w:numFmt w:val="bullet"/>
      <w:lvlText w:val="•"/>
      <w:lvlJc w:val="left"/>
      <w:pPr>
        <w:ind w:left="6767" w:hanging="358"/>
      </w:pPr>
      <w:rPr>
        <w:rFonts w:hint="default"/>
        <w:lang w:val="it-IT" w:eastAsia="it-IT" w:bidi="it-IT"/>
      </w:rPr>
    </w:lvl>
    <w:lvl w:ilvl="7" w:tplc="FA6A386C">
      <w:numFmt w:val="bullet"/>
      <w:lvlText w:val="•"/>
      <w:lvlJc w:val="left"/>
      <w:pPr>
        <w:ind w:left="7592" w:hanging="358"/>
      </w:pPr>
      <w:rPr>
        <w:rFonts w:hint="default"/>
        <w:lang w:val="it-IT" w:eastAsia="it-IT" w:bidi="it-IT"/>
      </w:rPr>
    </w:lvl>
    <w:lvl w:ilvl="8" w:tplc="E48A26F2">
      <w:numFmt w:val="bullet"/>
      <w:lvlText w:val="•"/>
      <w:lvlJc w:val="left"/>
      <w:pPr>
        <w:ind w:left="8417" w:hanging="358"/>
      </w:pPr>
      <w:rPr>
        <w:rFonts w:hint="default"/>
        <w:lang w:val="it-IT" w:eastAsia="it-IT" w:bidi="it-IT"/>
      </w:rPr>
    </w:lvl>
  </w:abstractNum>
  <w:abstractNum w:abstractNumId="3" w15:restartNumberingAfterBreak="0">
    <w:nsid w:val="36E3541F"/>
    <w:multiLevelType w:val="hybridMultilevel"/>
    <w:tmpl w:val="BE4C050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2C5E69"/>
    <w:multiLevelType w:val="hybridMultilevel"/>
    <w:tmpl w:val="546E8E08"/>
    <w:lvl w:ilvl="0" w:tplc="61CEA31A">
      <w:start w:val="1"/>
      <w:numFmt w:val="decimal"/>
      <w:lvlText w:val="%1)"/>
      <w:lvlJc w:val="left"/>
      <w:pPr>
        <w:ind w:left="475" w:hanging="48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BA20E3B0">
      <w:start w:val="1"/>
      <w:numFmt w:val="lowerLetter"/>
      <w:lvlText w:val="%2)"/>
      <w:lvlJc w:val="left"/>
      <w:pPr>
        <w:ind w:left="1195" w:hanging="480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98847284">
      <w:numFmt w:val="bullet"/>
      <w:lvlText w:val="•"/>
      <w:lvlJc w:val="left"/>
      <w:pPr>
        <w:ind w:left="2185" w:hanging="480"/>
      </w:pPr>
      <w:rPr>
        <w:rFonts w:hint="default"/>
        <w:lang w:val="it-IT" w:eastAsia="it-IT" w:bidi="it-IT"/>
      </w:rPr>
    </w:lvl>
    <w:lvl w:ilvl="3" w:tplc="B944D9CC">
      <w:numFmt w:val="bullet"/>
      <w:lvlText w:val="•"/>
      <w:lvlJc w:val="left"/>
      <w:pPr>
        <w:ind w:left="3170" w:hanging="480"/>
      </w:pPr>
      <w:rPr>
        <w:rFonts w:hint="default"/>
        <w:lang w:val="it-IT" w:eastAsia="it-IT" w:bidi="it-IT"/>
      </w:rPr>
    </w:lvl>
    <w:lvl w:ilvl="4" w:tplc="19A4F4FE">
      <w:numFmt w:val="bullet"/>
      <w:lvlText w:val="•"/>
      <w:lvlJc w:val="left"/>
      <w:pPr>
        <w:ind w:left="4155" w:hanging="480"/>
      </w:pPr>
      <w:rPr>
        <w:rFonts w:hint="default"/>
        <w:lang w:val="it-IT" w:eastAsia="it-IT" w:bidi="it-IT"/>
      </w:rPr>
    </w:lvl>
    <w:lvl w:ilvl="5" w:tplc="3B94ED36">
      <w:numFmt w:val="bullet"/>
      <w:lvlText w:val="•"/>
      <w:lvlJc w:val="left"/>
      <w:pPr>
        <w:ind w:left="5140" w:hanging="480"/>
      </w:pPr>
      <w:rPr>
        <w:rFonts w:hint="default"/>
        <w:lang w:val="it-IT" w:eastAsia="it-IT" w:bidi="it-IT"/>
      </w:rPr>
    </w:lvl>
    <w:lvl w:ilvl="6" w:tplc="E5545A52">
      <w:numFmt w:val="bullet"/>
      <w:lvlText w:val="•"/>
      <w:lvlJc w:val="left"/>
      <w:pPr>
        <w:ind w:left="6125" w:hanging="480"/>
      </w:pPr>
      <w:rPr>
        <w:rFonts w:hint="default"/>
        <w:lang w:val="it-IT" w:eastAsia="it-IT" w:bidi="it-IT"/>
      </w:rPr>
    </w:lvl>
    <w:lvl w:ilvl="7" w:tplc="8BDE40FC">
      <w:numFmt w:val="bullet"/>
      <w:lvlText w:val="•"/>
      <w:lvlJc w:val="left"/>
      <w:pPr>
        <w:ind w:left="7110" w:hanging="480"/>
      </w:pPr>
      <w:rPr>
        <w:rFonts w:hint="default"/>
        <w:lang w:val="it-IT" w:eastAsia="it-IT" w:bidi="it-IT"/>
      </w:rPr>
    </w:lvl>
    <w:lvl w:ilvl="8" w:tplc="976A4092">
      <w:numFmt w:val="bullet"/>
      <w:lvlText w:val="•"/>
      <w:lvlJc w:val="left"/>
      <w:pPr>
        <w:ind w:left="8096" w:hanging="480"/>
      </w:pPr>
      <w:rPr>
        <w:rFonts w:hint="default"/>
        <w:lang w:val="it-IT" w:eastAsia="it-IT" w:bidi="it-IT"/>
      </w:rPr>
    </w:lvl>
  </w:abstractNum>
  <w:abstractNum w:abstractNumId="5" w15:restartNumberingAfterBreak="0">
    <w:nsid w:val="596371AE"/>
    <w:multiLevelType w:val="hybridMultilevel"/>
    <w:tmpl w:val="DD9C6580"/>
    <w:lvl w:ilvl="0" w:tplc="568EE51E">
      <w:numFmt w:val="bullet"/>
      <w:lvlText w:val=""/>
      <w:lvlJc w:val="left"/>
      <w:pPr>
        <w:ind w:left="1468" w:hanging="358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59847482">
      <w:numFmt w:val="bullet"/>
      <w:lvlText w:val="•"/>
      <w:lvlJc w:val="left"/>
      <w:pPr>
        <w:ind w:left="2320" w:hanging="358"/>
      </w:pPr>
      <w:rPr>
        <w:rFonts w:hint="default"/>
        <w:lang w:val="it-IT" w:eastAsia="it-IT" w:bidi="it-IT"/>
      </w:rPr>
    </w:lvl>
    <w:lvl w:ilvl="2" w:tplc="123A99E6">
      <w:numFmt w:val="bullet"/>
      <w:lvlText w:val="•"/>
      <w:lvlJc w:val="left"/>
      <w:pPr>
        <w:ind w:left="3181" w:hanging="358"/>
      </w:pPr>
      <w:rPr>
        <w:rFonts w:hint="default"/>
        <w:lang w:val="it-IT" w:eastAsia="it-IT" w:bidi="it-IT"/>
      </w:rPr>
    </w:lvl>
    <w:lvl w:ilvl="3" w:tplc="9DCE538C">
      <w:numFmt w:val="bullet"/>
      <w:lvlText w:val="•"/>
      <w:lvlJc w:val="left"/>
      <w:pPr>
        <w:ind w:left="4041" w:hanging="358"/>
      </w:pPr>
      <w:rPr>
        <w:rFonts w:hint="default"/>
        <w:lang w:val="it-IT" w:eastAsia="it-IT" w:bidi="it-IT"/>
      </w:rPr>
    </w:lvl>
    <w:lvl w:ilvl="4" w:tplc="85907FB0">
      <w:numFmt w:val="bullet"/>
      <w:lvlText w:val="•"/>
      <w:lvlJc w:val="left"/>
      <w:pPr>
        <w:ind w:left="4902" w:hanging="358"/>
      </w:pPr>
      <w:rPr>
        <w:rFonts w:hint="default"/>
        <w:lang w:val="it-IT" w:eastAsia="it-IT" w:bidi="it-IT"/>
      </w:rPr>
    </w:lvl>
    <w:lvl w:ilvl="5" w:tplc="FA0C3466">
      <w:numFmt w:val="bullet"/>
      <w:lvlText w:val="•"/>
      <w:lvlJc w:val="left"/>
      <w:pPr>
        <w:ind w:left="5763" w:hanging="358"/>
      </w:pPr>
      <w:rPr>
        <w:rFonts w:hint="default"/>
        <w:lang w:val="it-IT" w:eastAsia="it-IT" w:bidi="it-IT"/>
      </w:rPr>
    </w:lvl>
    <w:lvl w:ilvl="6" w:tplc="7BE8E958">
      <w:numFmt w:val="bullet"/>
      <w:lvlText w:val="•"/>
      <w:lvlJc w:val="left"/>
      <w:pPr>
        <w:ind w:left="6623" w:hanging="358"/>
      </w:pPr>
      <w:rPr>
        <w:rFonts w:hint="default"/>
        <w:lang w:val="it-IT" w:eastAsia="it-IT" w:bidi="it-IT"/>
      </w:rPr>
    </w:lvl>
    <w:lvl w:ilvl="7" w:tplc="8F147880">
      <w:numFmt w:val="bullet"/>
      <w:lvlText w:val="•"/>
      <w:lvlJc w:val="left"/>
      <w:pPr>
        <w:ind w:left="7484" w:hanging="358"/>
      </w:pPr>
      <w:rPr>
        <w:rFonts w:hint="default"/>
        <w:lang w:val="it-IT" w:eastAsia="it-IT" w:bidi="it-IT"/>
      </w:rPr>
    </w:lvl>
    <w:lvl w:ilvl="8" w:tplc="42FE9FE8">
      <w:numFmt w:val="bullet"/>
      <w:lvlText w:val="•"/>
      <w:lvlJc w:val="left"/>
      <w:pPr>
        <w:ind w:left="8345" w:hanging="358"/>
      </w:pPr>
      <w:rPr>
        <w:rFonts w:hint="default"/>
        <w:lang w:val="it-IT" w:eastAsia="it-IT" w:bidi="it-IT"/>
      </w:rPr>
    </w:lvl>
  </w:abstractNum>
  <w:abstractNum w:abstractNumId="6" w15:restartNumberingAfterBreak="0">
    <w:nsid w:val="708278C2"/>
    <w:multiLevelType w:val="hybridMultilevel"/>
    <w:tmpl w:val="162E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629A"/>
    <w:rsid w:val="00024C9A"/>
    <w:rsid w:val="000742D9"/>
    <w:rsid w:val="000A2D5C"/>
    <w:rsid w:val="00117900"/>
    <w:rsid w:val="00190275"/>
    <w:rsid w:val="001A68D6"/>
    <w:rsid w:val="001D71DA"/>
    <w:rsid w:val="002051F4"/>
    <w:rsid w:val="00253E62"/>
    <w:rsid w:val="0026467C"/>
    <w:rsid w:val="00276C94"/>
    <w:rsid w:val="00286EE1"/>
    <w:rsid w:val="002F6579"/>
    <w:rsid w:val="003220BC"/>
    <w:rsid w:val="00363678"/>
    <w:rsid w:val="003C61C4"/>
    <w:rsid w:val="0041760C"/>
    <w:rsid w:val="00446155"/>
    <w:rsid w:val="0047117E"/>
    <w:rsid w:val="0049023D"/>
    <w:rsid w:val="004A3E81"/>
    <w:rsid w:val="004A5BD4"/>
    <w:rsid w:val="005F01A8"/>
    <w:rsid w:val="00652455"/>
    <w:rsid w:val="006578D7"/>
    <w:rsid w:val="006B5FFC"/>
    <w:rsid w:val="006E4124"/>
    <w:rsid w:val="00750B31"/>
    <w:rsid w:val="007525CF"/>
    <w:rsid w:val="00783C6A"/>
    <w:rsid w:val="00784071"/>
    <w:rsid w:val="00793103"/>
    <w:rsid w:val="007D5341"/>
    <w:rsid w:val="00926529"/>
    <w:rsid w:val="009A0C01"/>
    <w:rsid w:val="009E2042"/>
    <w:rsid w:val="00A22336"/>
    <w:rsid w:val="00B36ED8"/>
    <w:rsid w:val="00BB3A70"/>
    <w:rsid w:val="00C57305"/>
    <w:rsid w:val="00C63A1E"/>
    <w:rsid w:val="00C7549C"/>
    <w:rsid w:val="00C7756C"/>
    <w:rsid w:val="00CA3FA0"/>
    <w:rsid w:val="00CA629A"/>
    <w:rsid w:val="00CC0CD2"/>
    <w:rsid w:val="00CF69AC"/>
    <w:rsid w:val="00D2452B"/>
    <w:rsid w:val="00D62C71"/>
    <w:rsid w:val="00E454CA"/>
    <w:rsid w:val="00E82EFD"/>
    <w:rsid w:val="00E92822"/>
    <w:rsid w:val="00F30051"/>
    <w:rsid w:val="00F834C9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BCB3"/>
  <w15:docId w15:val="{324F7311-726A-4123-8167-073D8F85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52455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outlineLvl w:val="0"/>
    </w:pPr>
    <w:rPr>
      <w:rFonts w:asciiTheme="minorHAnsi" w:eastAsiaTheme="minorEastAsia" w:hAnsiTheme="minorHAnsi"/>
      <w:caps/>
      <w:color w:val="FFFFFF" w:themeColor="background1"/>
      <w:spacing w:val="15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793103"/>
    <w:pPr>
      <w:ind w:left="425"/>
      <w:outlineLvl w:val="1"/>
    </w:pPr>
    <w:rPr>
      <w:rFonts w:cstheme="minorBidi"/>
      <w:i/>
      <w:cap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0" w:after="120"/>
    </w:pPr>
    <w:rPr>
      <w:rFonts w:asciiTheme="minorHAnsi" w:hAnsiTheme="minorHAnsi"/>
      <w:b/>
      <w:bCs/>
      <w:caps/>
    </w:rPr>
  </w:style>
  <w:style w:type="paragraph" w:styleId="Sommario2">
    <w:name w:val="toc 2"/>
    <w:basedOn w:val="Normale"/>
    <w:uiPriority w:val="39"/>
    <w:qFormat/>
    <w:pPr>
      <w:ind w:left="200"/>
    </w:pPr>
    <w:rPr>
      <w:rFonts w:asciiTheme="minorHAnsi" w:hAnsiTheme="minorHAnsi"/>
      <w:smallCaps/>
    </w:r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pPr>
      <w:ind w:left="1826" w:hanging="35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52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5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2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55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2455"/>
    <w:rPr>
      <w:rFonts w:eastAsiaTheme="minorEastAsia" w:cstheme="minorHAnsi"/>
      <w:caps/>
      <w:color w:val="FFFFFF" w:themeColor="background1"/>
      <w:spacing w:val="15"/>
      <w:sz w:val="20"/>
      <w:szCs w:val="20"/>
      <w:shd w:val="clear" w:color="auto" w:fill="4F81BD" w:themeFill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3103"/>
    <w:rPr>
      <w:rFonts w:asciiTheme="minorHAnsi" w:eastAsiaTheme="minorEastAsia" w:hAnsiTheme="minorHAnsi" w:cstheme="minorBidi"/>
      <w:i/>
      <w:color w:val="FFFFFF" w:themeColor="background1"/>
      <w:spacing w:val="15"/>
      <w:sz w:val="22"/>
      <w:szCs w:val="22"/>
      <w:shd w:val="clear" w:color="auto" w:fill="4F81BD" w:themeFill="accent1"/>
      <w:lang w:val="it-IT"/>
    </w:rPr>
  </w:style>
  <w:style w:type="table" w:styleId="Grigliatabella">
    <w:name w:val="Table Grid"/>
    <w:basedOn w:val="Tabellanormale"/>
    <w:uiPriority w:val="39"/>
    <w:rsid w:val="004A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CC0C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C0CD2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0CD2"/>
    <w:pPr>
      <w:ind w:left="400"/>
    </w:pPr>
    <w:rPr>
      <w:rFonts w:asciiTheme="minorHAnsi" w:hAnsiTheme="minorHAns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C0CD2"/>
    <w:pPr>
      <w:ind w:left="60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C0CD2"/>
    <w:pPr>
      <w:ind w:left="80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C0CD2"/>
    <w:pPr>
      <w:ind w:left="10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C0CD2"/>
    <w:pPr>
      <w:ind w:left="120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C0CD2"/>
    <w:pPr>
      <w:ind w:left="140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C0CD2"/>
    <w:pPr>
      <w:ind w:left="1600"/>
    </w:pPr>
    <w:rPr>
      <w:rFonts w:asciiTheme="minorHAnsi" w:hAnsiTheme="minorHAns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5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52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B572-A9CE-4478-982D-8135DA5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daniela.casadei@equitaliagiustizia.it</dc:creator>
  <cp:lastModifiedBy>Salvatore Cioce</cp:lastModifiedBy>
  <cp:revision>25</cp:revision>
  <cp:lastPrinted>2020-03-02T11:19:00Z</cp:lastPrinted>
  <dcterms:created xsi:type="dcterms:W3CDTF">2019-08-05T09:28:00Z</dcterms:created>
  <dcterms:modified xsi:type="dcterms:W3CDTF">2020-08-05T12:52:00Z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