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CD" w:rsidRPr="00AA7B21" w:rsidRDefault="00FE5DAE">
      <w:pPr>
        <w:spacing w:line="200" w:lineRule="exact"/>
        <w:rPr>
          <w:b/>
          <w:lang w:val="it-IT"/>
        </w:rPr>
      </w:pPr>
      <w:r>
        <w:rPr>
          <w:b/>
          <w:lang w:val="it-IT"/>
        </w:rPr>
        <w:t>Patto di integrità</w:t>
      </w:r>
    </w:p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057EEB" w:rsidTr="00AA7B21">
        <w:tc>
          <w:tcPr>
            <w:tcW w:w="9619" w:type="dxa"/>
          </w:tcPr>
          <w:p w:rsidR="00CE39EA" w:rsidRPr="00AA7B21" w:rsidRDefault="00CE39EA" w:rsidP="00837722">
            <w:pPr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DD0CDB" w:rsidRPr="009758D9" w:rsidRDefault="00CE39EA" w:rsidP="001C199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Arial-BoldMT"/>
                <w:lang w:val="it-IT"/>
              </w:rPr>
            </w:pPr>
            <w:r w:rsidRPr="009758D9">
              <w:rPr>
                <w:rFonts w:cs="Times New Roman"/>
                <w:color w:val="050505"/>
                <w:lang w:val="it-IT"/>
              </w:rPr>
              <w:t>Costituisce</w:t>
            </w:r>
            <w:r w:rsidRPr="009758D9">
              <w:rPr>
                <w:rFonts w:cs="Times New Roman"/>
                <w:color w:val="050505"/>
                <w:spacing w:val="-3"/>
                <w:lang w:val="it-IT"/>
              </w:rPr>
              <w:t xml:space="preserve"> </w:t>
            </w:r>
            <w:r w:rsidRPr="009758D9">
              <w:rPr>
                <w:rFonts w:cs="Times New Roman"/>
                <w:color w:val="050505"/>
                <w:lang w:val="it-IT"/>
              </w:rPr>
              <w:t>parte</w:t>
            </w:r>
            <w:r w:rsidRPr="009758D9">
              <w:rPr>
                <w:rFonts w:cs="Times New Roman"/>
                <w:color w:val="050505"/>
                <w:spacing w:val="35"/>
                <w:lang w:val="it-IT"/>
              </w:rPr>
              <w:t xml:space="preserve"> </w:t>
            </w:r>
            <w:r w:rsidRPr="009758D9">
              <w:rPr>
                <w:rFonts w:cs="Times New Roman"/>
                <w:color w:val="050505"/>
                <w:lang w:val="it-IT"/>
              </w:rPr>
              <w:t>integrante</w:t>
            </w:r>
            <w:r w:rsidRPr="009758D9">
              <w:rPr>
                <w:rFonts w:cs="Times New Roman"/>
                <w:color w:val="050505"/>
                <w:spacing w:val="10"/>
                <w:lang w:val="it-IT"/>
              </w:rPr>
              <w:t xml:space="preserve"> </w:t>
            </w:r>
            <w:r w:rsidRPr="009758D9">
              <w:rPr>
                <w:rFonts w:cs="Times New Roman"/>
                <w:color w:val="050505"/>
                <w:lang w:val="it-IT"/>
              </w:rPr>
              <w:t>della</w:t>
            </w:r>
            <w:r w:rsidRPr="009758D9">
              <w:rPr>
                <w:rFonts w:cs="Times New Roman"/>
                <w:color w:val="050505"/>
                <w:spacing w:val="-13"/>
                <w:lang w:val="it-IT"/>
              </w:rPr>
              <w:t xml:space="preserve"> </w:t>
            </w:r>
            <w:r w:rsidR="00F1608D" w:rsidRPr="009758D9">
              <w:rPr>
                <w:rFonts w:ascii="Calibri" w:hAnsi="Calibri" w:cs="Calibri"/>
                <w:lang w:val="it-IT"/>
              </w:rPr>
              <w:t xml:space="preserve">gara a procedura </w:t>
            </w:r>
            <w:r w:rsidR="00850CD2">
              <w:rPr>
                <w:rFonts w:ascii="Calibri" w:hAnsi="Calibri" w:cs="Calibri"/>
                <w:lang w:val="it-IT"/>
              </w:rPr>
              <w:t>aperta sopra</w:t>
            </w:r>
            <w:r w:rsidR="0064612D" w:rsidRPr="009758D9">
              <w:rPr>
                <w:rFonts w:ascii="Calibri" w:hAnsi="Calibri" w:cs="Calibri"/>
                <w:lang w:val="it-IT"/>
              </w:rPr>
              <w:t xml:space="preserve"> soglia </w:t>
            </w:r>
            <w:r w:rsidR="00850CD2">
              <w:rPr>
                <w:rFonts w:ascii="Calibri" w:hAnsi="Calibri" w:cs="Calibri"/>
                <w:lang w:val="it-IT"/>
              </w:rPr>
              <w:t xml:space="preserve">per </w:t>
            </w:r>
            <w:r w:rsidR="00850CD2" w:rsidRPr="00850CD2">
              <w:rPr>
                <w:rFonts w:ascii="Calibri" w:hAnsi="Calibri" w:cs="Calibri"/>
                <w:lang w:val="it-IT"/>
              </w:rPr>
              <w:t xml:space="preserve">l’affidamento della fornitura e posa in opera “chiavi in mano” di (Lotto 1 – CIG </w:t>
            </w:r>
            <w:r w:rsidR="001C1990" w:rsidRPr="001C1990">
              <w:rPr>
                <w:rFonts w:ascii="Calibri" w:hAnsi="Calibri" w:cs="Calibri"/>
                <w:lang w:val="it-IT"/>
              </w:rPr>
              <w:t>7584798550</w:t>
            </w:r>
            <w:bookmarkStart w:id="0" w:name="_GoBack"/>
            <w:bookmarkEnd w:id="0"/>
            <w:r w:rsidR="00850CD2" w:rsidRPr="00850CD2">
              <w:rPr>
                <w:rFonts w:ascii="Calibri" w:hAnsi="Calibri" w:cs="Calibri"/>
                <w:lang w:val="it-IT"/>
              </w:rPr>
              <w:t xml:space="preserve">) arredi tecnici e di attrezzature da laboratorio completi di infrastruttura impiantistica ed opere di adeguamento locali ed impianti e (Lotto 2 – CIG </w:t>
            </w:r>
            <w:r w:rsidR="001C1990" w:rsidRPr="001C1990">
              <w:rPr>
                <w:rFonts w:ascii="Calibri" w:hAnsi="Calibri" w:cs="Calibri"/>
                <w:lang w:val="it-IT"/>
              </w:rPr>
              <w:t>7584809E61</w:t>
            </w:r>
            <w:r w:rsidR="00850CD2" w:rsidRPr="00850CD2">
              <w:rPr>
                <w:rFonts w:ascii="Calibri" w:hAnsi="Calibri" w:cs="Calibri"/>
                <w:lang w:val="it-IT"/>
              </w:rPr>
              <w:t>) di sistemi integrati di climatizzazione</w:t>
            </w:r>
            <w:r w:rsidR="00057EEB">
              <w:rPr>
                <w:rFonts w:ascii="Calibri" w:hAnsi="Calibri" w:cs="Calibri"/>
                <w:lang w:val="it-IT"/>
              </w:rPr>
              <w:t>.</w:t>
            </w:r>
          </w:p>
          <w:p w:rsidR="00CE39EA" w:rsidRPr="00DD0CDB" w:rsidRDefault="00DC49F0" w:rsidP="00837722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837722">
            <w:pPr>
              <w:pStyle w:val="Paragrafoelenco"/>
              <w:numPr>
                <w:ilvl w:val="0"/>
                <w:numId w:val="1"/>
              </w:numPr>
              <w:ind w:left="357" w:right="1" w:hanging="357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8B142B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L’</w:t>
      </w:r>
      <w:r w:rsidR="00E755E8" w:rsidRPr="00AA7B21">
        <w:rPr>
          <w:rFonts w:eastAsia="Times New Roman" w:cs="Times New Roman"/>
          <w:color w:val="050505"/>
          <w:lang w:val="it-IT"/>
        </w:rPr>
        <w:t xml:space="preserve">Istituto </w:t>
      </w:r>
      <w:r w:rsidR="00837722">
        <w:rPr>
          <w:rFonts w:eastAsia="Times New Roman" w:cs="Times New Roman"/>
          <w:color w:val="050505"/>
          <w:lang w:val="it-IT"/>
        </w:rPr>
        <w:t xml:space="preserve">di Nanotecnologia </w:t>
      </w:r>
      <w:r w:rsidR="00F1608D">
        <w:rPr>
          <w:rFonts w:eastAsia="Times New Roman" w:cs="Times New Roman"/>
          <w:color w:val="050505"/>
          <w:lang w:val="it-IT"/>
        </w:rPr>
        <w:t>del CNR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7228CA">
        <w:rPr>
          <w:rFonts w:eastAsia="Times New Roman" w:cs="Times New Roman"/>
          <w:color w:val="050505"/>
          <w:lang w:val="it-IT"/>
        </w:rPr>
        <w:t>Ente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AA7B21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 xml:space="preserve"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</w:t>
      </w:r>
      <w:proofErr w:type="gramStart"/>
      <w:r w:rsidR="00EF1DE8" w:rsidRPr="00AA7B21">
        <w:rPr>
          <w:rFonts w:eastAsia="Times New Roman"/>
          <w:lang w:val="it-IT"/>
        </w:rPr>
        <w:t>livello</w:t>
      </w:r>
      <w:proofErr w:type="gramEnd"/>
      <w:r w:rsidR="00EF1DE8" w:rsidRPr="00AA7B21">
        <w:rPr>
          <w:rFonts w:eastAsia="Times New Roman"/>
          <w:lang w:val="it-IT"/>
        </w:rPr>
        <w:t xml:space="preserve">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2C0CA4" w:rsidRPr="002C0CA4" w:rsidRDefault="002C0CA4" w:rsidP="002C0CA4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>La Legge 6 novembre 2012 n. 190, art. 1, comma 17 recante "Disposizioni per la prevenzione e la repressione della corruzione e dell'illegalità nella pubblica amministrazione";</w:t>
      </w:r>
    </w:p>
    <w:p w:rsidR="002C0CA4" w:rsidRPr="002C0CA4" w:rsidRDefault="002C0CA4" w:rsidP="002C0CA4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>Il Piano Nazionale Anticorruzione (P.N.A.) approvato dall'Autorità Nazionale anticorruzione per la valutazione e la trasparenza delle amministrazioni pubbliche (ANAC ex CIVIT) con delibera n. 831/2016;</w:t>
      </w:r>
    </w:p>
    <w:p w:rsidR="002C0CA4" w:rsidRPr="002C0CA4" w:rsidRDefault="002C0CA4" w:rsidP="002C0CA4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 xml:space="preserve">Il vigente «Piano triennale per la prevenzione della corruzione e della trasparenza» accessibile all’URL </w:t>
      </w:r>
      <w:r w:rsidRPr="002C0CA4">
        <w:rPr>
          <w:rFonts w:eastAsia="Times New Roman"/>
          <w:lang w:val="it-IT"/>
        </w:rPr>
        <w:lastRenderedPageBreak/>
        <w:t>https://www.cnr.it/it/piano-triennale-prevenzione-della-corruzione;</w:t>
      </w:r>
    </w:p>
    <w:p w:rsidR="002C0CA4" w:rsidRPr="002C0CA4" w:rsidRDefault="002C0CA4" w:rsidP="002C0CA4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>Il Decreto del Presidente della Repubblica 16 aprile 2013, n. 62 con il quale è stato emanato il "Regolamento recante il codice di comportamento dei dipendenti pubblici";</w:t>
      </w:r>
    </w:p>
    <w:p w:rsidR="002C0CA4" w:rsidRPr="002C0CA4" w:rsidRDefault="002C0CA4" w:rsidP="002C0CA4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>Il vigente «Codice di comportamento del CNR» accessibile all’URL https://www.cnr.it/it/disposizioni-generali.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="00837722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come richiesto </w:t>
      </w:r>
      <w:r w:rsidR="00850CD2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>dal</w:t>
      </w:r>
      <w:r w:rsidR="00837722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Disciplinare di gara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. 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</w:t>
      </w:r>
      <w:r w:rsidR="00850CD2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</w:t>
      </w:r>
      <w:r w:rsidR="00F67E5E">
        <w:rPr>
          <w:rFonts w:asciiTheme="minorHAnsi" w:hAnsiTheme="minorHAnsi"/>
          <w:color w:val="050505"/>
          <w:sz w:val="22"/>
          <w:szCs w:val="22"/>
          <w:lang w:val="it-IT"/>
        </w:rPr>
        <w:t xml:space="preserve">due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>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057EEB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DD0CDB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Firmato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: </w:t>
            </w:r>
            <w:r w:rsidR="00AD749D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Il Direttore</w:t>
            </w:r>
          </w:p>
          <w:p w:rsidR="00B44017" w:rsidRPr="00AA7B21" w:rsidRDefault="003931DD" w:rsidP="00837722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CNR</w:t>
            </w:r>
            <w:r w:rsidR="00F1608D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-</w:t>
            </w:r>
            <w:r w:rsidR="00837722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NANOTEC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AA7B21" w:rsidTr="00222607">
        <w:tc>
          <w:tcPr>
            <w:tcW w:w="3802" w:type="dxa"/>
          </w:tcPr>
          <w:p w:rsidR="0022651D" w:rsidRPr="00AA7B21" w:rsidRDefault="008766B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AD749D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Prof. </w:t>
            </w:r>
            <w:r w:rsidR="00837722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Giuseppe GIGLI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5A3FFF" w:rsidRDefault="005A3FFF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5A3FFF" w:rsidRDefault="005A3FFF" w:rsidP="005A3FFF">
      <w:pPr>
        <w:rPr>
          <w:rFonts w:eastAsia="Times New Roman"/>
          <w:color w:val="050505"/>
          <w:lang w:val="it-IT"/>
        </w:rPr>
      </w:pPr>
    </w:p>
    <w:p w:rsidR="005A3FFF" w:rsidRDefault="005A3FFF" w:rsidP="005A3FFF">
      <w:pPr>
        <w:rPr>
          <w:rFonts w:eastAsia="Times New Roman"/>
          <w:color w:val="050505"/>
          <w:lang w:val="it-IT"/>
        </w:rPr>
      </w:pPr>
    </w:p>
    <w:p w:rsidR="005A3FFF" w:rsidRPr="005A3FFF" w:rsidRDefault="005A3FFF" w:rsidP="005A3FFF">
      <w:pPr>
        <w:jc w:val="both"/>
        <w:rPr>
          <w:color w:val="050505"/>
          <w:u w:val="single"/>
          <w:lang w:val="it-IT"/>
        </w:rPr>
      </w:pPr>
    </w:p>
    <w:sectPr w:rsidR="005A3FFF" w:rsidRPr="005A3FFF" w:rsidSect="00AA7B21">
      <w:headerReference w:type="default" r:id="rId7"/>
      <w:footerReference w:type="default" r:id="rId8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43" w:rsidRDefault="004B7543">
      <w:r>
        <w:separator/>
      </w:r>
    </w:p>
  </w:endnote>
  <w:endnote w:type="continuationSeparator" w:id="0">
    <w:p w:rsidR="004B7543" w:rsidRDefault="004B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990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3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990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43" w:rsidRDefault="004B7543">
      <w:r>
        <w:separator/>
      </w:r>
    </w:p>
  </w:footnote>
  <w:footnote w:type="continuationSeparator" w:id="0">
    <w:p w:rsidR="004B7543" w:rsidRDefault="004B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D"/>
    <w:rsid w:val="000002D6"/>
    <w:rsid w:val="00057EEB"/>
    <w:rsid w:val="0007543B"/>
    <w:rsid w:val="000C1E10"/>
    <w:rsid w:val="000C2614"/>
    <w:rsid w:val="001321EB"/>
    <w:rsid w:val="00173ABB"/>
    <w:rsid w:val="001923B6"/>
    <w:rsid w:val="001B5DEC"/>
    <w:rsid w:val="001C1990"/>
    <w:rsid w:val="0020171C"/>
    <w:rsid w:val="00217C23"/>
    <w:rsid w:val="00222607"/>
    <w:rsid w:val="0022651D"/>
    <w:rsid w:val="00260378"/>
    <w:rsid w:val="002A162B"/>
    <w:rsid w:val="002B2DB2"/>
    <w:rsid w:val="002C0CA4"/>
    <w:rsid w:val="002E7007"/>
    <w:rsid w:val="002E7930"/>
    <w:rsid w:val="00337167"/>
    <w:rsid w:val="00345FFD"/>
    <w:rsid w:val="0036032B"/>
    <w:rsid w:val="003931DD"/>
    <w:rsid w:val="003D092D"/>
    <w:rsid w:val="00420D30"/>
    <w:rsid w:val="004B7543"/>
    <w:rsid w:val="004C22A1"/>
    <w:rsid w:val="005523C9"/>
    <w:rsid w:val="005554BB"/>
    <w:rsid w:val="00574C29"/>
    <w:rsid w:val="00584747"/>
    <w:rsid w:val="00594863"/>
    <w:rsid w:val="005A3FFF"/>
    <w:rsid w:val="005D4665"/>
    <w:rsid w:val="00631DD3"/>
    <w:rsid w:val="0064612D"/>
    <w:rsid w:val="00660B36"/>
    <w:rsid w:val="00680E61"/>
    <w:rsid w:val="006900D0"/>
    <w:rsid w:val="006A59C2"/>
    <w:rsid w:val="007228CA"/>
    <w:rsid w:val="00784AB6"/>
    <w:rsid w:val="007A26DD"/>
    <w:rsid w:val="007B497E"/>
    <w:rsid w:val="007D0145"/>
    <w:rsid w:val="007F1978"/>
    <w:rsid w:val="007F51DC"/>
    <w:rsid w:val="00817ABF"/>
    <w:rsid w:val="00837722"/>
    <w:rsid w:val="00850CD2"/>
    <w:rsid w:val="008766BD"/>
    <w:rsid w:val="00886243"/>
    <w:rsid w:val="008B142B"/>
    <w:rsid w:val="008B19CD"/>
    <w:rsid w:val="008D04AE"/>
    <w:rsid w:val="008E13E8"/>
    <w:rsid w:val="009215E1"/>
    <w:rsid w:val="009758D9"/>
    <w:rsid w:val="009867F3"/>
    <w:rsid w:val="009A3D22"/>
    <w:rsid w:val="009F57D6"/>
    <w:rsid w:val="00AA7B21"/>
    <w:rsid w:val="00AD749D"/>
    <w:rsid w:val="00AF2865"/>
    <w:rsid w:val="00B1596D"/>
    <w:rsid w:val="00B44017"/>
    <w:rsid w:val="00B759CE"/>
    <w:rsid w:val="00B75BA1"/>
    <w:rsid w:val="00B946DD"/>
    <w:rsid w:val="00CC6D5B"/>
    <w:rsid w:val="00CD504C"/>
    <w:rsid w:val="00CE39EA"/>
    <w:rsid w:val="00CE70E1"/>
    <w:rsid w:val="00D127F0"/>
    <w:rsid w:val="00D54822"/>
    <w:rsid w:val="00D634FA"/>
    <w:rsid w:val="00D64D01"/>
    <w:rsid w:val="00D82B2B"/>
    <w:rsid w:val="00DC49F0"/>
    <w:rsid w:val="00DD0CDB"/>
    <w:rsid w:val="00DE5341"/>
    <w:rsid w:val="00E10456"/>
    <w:rsid w:val="00E43C64"/>
    <w:rsid w:val="00E755E8"/>
    <w:rsid w:val="00E902C0"/>
    <w:rsid w:val="00E91913"/>
    <w:rsid w:val="00EC1C6B"/>
    <w:rsid w:val="00EF1DE8"/>
    <w:rsid w:val="00EF3DD9"/>
    <w:rsid w:val="00F0247E"/>
    <w:rsid w:val="00F1608D"/>
    <w:rsid w:val="00F54877"/>
    <w:rsid w:val="00F67572"/>
    <w:rsid w:val="00F67E5E"/>
    <w:rsid w:val="00FE5DAE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94023-D525-44A9-A1F4-09461B8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Marco Campani</cp:lastModifiedBy>
  <cp:revision>9</cp:revision>
  <cp:lastPrinted>2016-09-26T06:44:00Z</cp:lastPrinted>
  <dcterms:created xsi:type="dcterms:W3CDTF">2018-04-18T10:01:00Z</dcterms:created>
  <dcterms:modified xsi:type="dcterms:W3CDTF">2018-07-27T12:03:00Z</dcterms:modified>
</cp:coreProperties>
</file>