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02" w:rsidRPr="00585D30" w:rsidRDefault="00604102" w:rsidP="00604102">
      <w:pPr>
        <w:autoSpaceDE w:val="0"/>
        <w:autoSpaceDN w:val="0"/>
        <w:adjustRightInd w:val="0"/>
        <w:jc w:val="center"/>
        <w:rPr>
          <w:rFonts w:eastAsiaTheme="minorHAnsi"/>
          <w:b/>
          <w:bCs/>
          <w:color w:val="141414"/>
          <w:sz w:val="22"/>
          <w:szCs w:val="22"/>
          <w:lang w:eastAsia="en-US"/>
        </w:rPr>
      </w:pPr>
      <w:r>
        <w:rPr>
          <w:rFonts w:eastAsiaTheme="minorHAnsi"/>
          <w:b/>
          <w:bCs/>
          <w:color w:val="141414"/>
          <w:sz w:val="22"/>
          <w:szCs w:val="22"/>
          <w:lang w:eastAsia="en-US"/>
        </w:rPr>
        <w:t>CAPITOLATO TECNICO</w:t>
      </w:r>
      <w:r w:rsidRPr="00585D30">
        <w:rPr>
          <w:rFonts w:eastAsiaTheme="minorHAnsi"/>
          <w:b/>
          <w:bCs/>
          <w:color w:val="141414"/>
          <w:sz w:val="22"/>
          <w:szCs w:val="22"/>
          <w:lang w:eastAsia="en-US"/>
        </w:rPr>
        <w:t xml:space="preserve"> PER L'AFFIDAMENTO DELLA FORNITURA DI </w:t>
      </w:r>
      <w:r w:rsidRPr="0042236E">
        <w:rPr>
          <w:rFonts w:eastAsiaTheme="minorHAnsi"/>
          <w:b/>
          <w:bCs/>
          <w:color w:val="141414"/>
          <w:sz w:val="22"/>
          <w:szCs w:val="22"/>
          <w:lang w:eastAsia="en-US"/>
        </w:rPr>
        <w:t>SPETTROMETRO DI FLUORESCENZA A RAGGI X ED ACCESSORI</w:t>
      </w:r>
      <w:r>
        <w:rPr>
          <w:rFonts w:eastAsiaTheme="minorHAnsi"/>
          <w:b/>
          <w:bCs/>
          <w:color w:val="141414"/>
          <w:sz w:val="22"/>
          <w:szCs w:val="22"/>
          <w:lang w:eastAsia="en-US"/>
        </w:rPr>
        <w:t xml:space="preserve"> (XRF)</w:t>
      </w:r>
    </w:p>
    <w:p w:rsidR="00604102" w:rsidRPr="00585D30" w:rsidRDefault="00604102" w:rsidP="00604102">
      <w:pPr>
        <w:autoSpaceDE w:val="0"/>
        <w:autoSpaceDN w:val="0"/>
        <w:adjustRightInd w:val="0"/>
        <w:jc w:val="center"/>
        <w:rPr>
          <w:rFonts w:eastAsiaTheme="minorHAnsi"/>
          <w:b/>
          <w:lang w:eastAsia="en-US"/>
        </w:rPr>
      </w:pPr>
      <w:r w:rsidRPr="00585D30">
        <w:rPr>
          <w:rFonts w:eastAsiaTheme="minorHAnsi"/>
          <w:b/>
          <w:lang w:eastAsia="en-US"/>
        </w:rPr>
        <w:t>Progetto SAC.AD002.172.042 Sviluppo delle Infrastrutture e Programma Biennale degli Interventi del Consiglio Nazionale delle Ricerche</w:t>
      </w:r>
    </w:p>
    <w:p w:rsidR="00604102" w:rsidRPr="00585D30" w:rsidRDefault="00604102" w:rsidP="00604102">
      <w:pPr>
        <w:autoSpaceDE w:val="0"/>
        <w:autoSpaceDN w:val="0"/>
        <w:adjustRightInd w:val="0"/>
        <w:jc w:val="center"/>
        <w:rPr>
          <w:rFonts w:eastAsiaTheme="minorHAnsi"/>
          <w:b/>
          <w:bCs/>
          <w:color w:val="141414"/>
          <w:sz w:val="22"/>
          <w:szCs w:val="22"/>
          <w:lang w:eastAsia="en-US"/>
        </w:rPr>
      </w:pPr>
      <w:r w:rsidRPr="00585D30">
        <w:rPr>
          <w:rFonts w:eastAsiaTheme="minorHAnsi"/>
          <w:b/>
          <w:bCs/>
          <w:color w:val="141414"/>
          <w:sz w:val="22"/>
          <w:szCs w:val="22"/>
          <w:lang w:eastAsia="en-US"/>
        </w:rPr>
        <w:t xml:space="preserve">CIG: </w:t>
      </w:r>
      <w:r w:rsidRPr="0042236E">
        <w:rPr>
          <w:rFonts w:eastAsiaTheme="minorHAnsi"/>
          <w:b/>
          <w:bCs/>
          <w:color w:val="141414"/>
          <w:sz w:val="22"/>
          <w:szCs w:val="22"/>
          <w:lang w:eastAsia="en-US"/>
        </w:rPr>
        <w:t>8681782127</w:t>
      </w:r>
      <w:r w:rsidRPr="00585D30">
        <w:rPr>
          <w:rFonts w:eastAsiaTheme="minorHAnsi"/>
          <w:b/>
          <w:bCs/>
          <w:color w:val="141414"/>
          <w:sz w:val="22"/>
          <w:szCs w:val="22"/>
          <w:lang w:eastAsia="en-US"/>
        </w:rPr>
        <w:t xml:space="preserve"> – CUP: B55J19000360001 – CUI: </w:t>
      </w:r>
      <w:r w:rsidRPr="0042236E">
        <w:rPr>
          <w:rFonts w:eastAsiaTheme="minorHAnsi"/>
          <w:b/>
          <w:bCs/>
          <w:color w:val="141414"/>
          <w:sz w:val="22"/>
          <w:szCs w:val="22"/>
          <w:lang w:eastAsia="en-US"/>
        </w:rPr>
        <w:t>80054330586202100210</w:t>
      </w:r>
    </w:p>
    <w:p w:rsidR="00604102" w:rsidRPr="00585D30" w:rsidRDefault="00604102" w:rsidP="00604102">
      <w:pPr>
        <w:spacing w:before="10"/>
        <w:jc w:val="center"/>
        <w:rPr>
          <w:rFonts w:eastAsiaTheme="minorHAnsi"/>
          <w:b/>
          <w:bCs/>
          <w:color w:val="141414"/>
          <w:sz w:val="22"/>
          <w:szCs w:val="22"/>
          <w:lang w:eastAsia="en-US"/>
        </w:rPr>
      </w:pPr>
      <w:r w:rsidRPr="00585D30">
        <w:rPr>
          <w:rFonts w:eastAsiaTheme="minorHAnsi"/>
          <w:b/>
          <w:bCs/>
          <w:color w:val="141414"/>
          <w:sz w:val="22"/>
          <w:szCs w:val="22"/>
          <w:lang w:eastAsia="en-US"/>
        </w:rPr>
        <w:t xml:space="preserve">DECISIONE DI CONTRATTARE E ATTO DI NOMINA RUP </w:t>
      </w:r>
      <w:proofErr w:type="spellStart"/>
      <w:r w:rsidRPr="00585D30">
        <w:rPr>
          <w:rFonts w:eastAsiaTheme="minorHAnsi"/>
          <w:b/>
          <w:bCs/>
          <w:color w:val="141414"/>
          <w:sz w:val="22"/>
          <w:szCs w:val="22"/>
          <w:lang w:eastAsia="en-US"/>
        </w:rPr>
        <w:t>prot</w:t>
      </w:r>
      <w:proofErr w:type="spellEnd"/>
      <w:r w:rsidRPr="00585D30">
        <w:rPr>
          <w:rFonts w:eastAsiaTheme="minorHAnsi"/>
          <w:b/>
          <w:bCs/>
          <w:color w:val="141414"/>
          <w:sz w:val="22"/>
          <w:szCs w:val="22"/>
          <w:lang w:eastAsia="en-US"/>
        </w:rPr>
        <w:t xml:space="preserve">. N° </w:t>
      </w:r>
      <w:r w:rsidRPr="00C639CC">
        <w:rPr>
          <w:rFonts w:eastAsiaTheme="minorHAnsi"/>
          <w:b/>
          <w:bCs/>
          <w:color w:val="141414"/>
          <w:sz w:val="22"/>
          <w:szCs w:val="22"/>
          <w:lang w:eastAsia="en-US"/>
        </w:rPr>
        <w:t>0000706/2021del 09/03/2021</w:t>
      </w:r>
    </w:p>
    <w:p w:rsidR="001E091A" w:rsidRDefault="001E091A" w:rsidP="001E091A">
      <w:pPr>
        <w:spacing w:before="10"/>
        <w:jc w:val="center"/>
        <w:rPr>
          <w:rFonts w:eastAsia="Verdana"/>
          <w:b/>
          <w:bCs/>
          <w:szCs w:val="19"/>
        </w:rPr>
      </w:pPr>
    </w:p>
    <w:p w:rsidR="00087005" w:rsidRPr="00F349B3" w:rsidRDefault="00087005" w:rsidP="00CA153F">
      <w:pPr>
        <w:autoSpaceDE w:val="0"/>
        <w:autoSpaceDN w:val="0"/>
        <w:adjustRightInd w:val="0"/>
        <w:jc w:val="both"/>
        <w:rPr>
          <w:rFonts w:eastAsiaTheme="minorHAnsi"/>
          <w:color w:val="141414"/>
          <w:sz w:val="22"/>
          <w:szCs w:val="22"/>
          <w:lang w:eastAsia="en-US"/>
        </w:rPr>
      </w:pPr>
    </w:p>
    <w:p w:rsidR="00087005" w:rsidRPr="00604102" w:rsidRDefault="00087005" w:rsidP="00BB0BD9">
      <w:pPr>
        <w:pStyle w:val="Paragrafoelenco"/>
        <w:numPr>
          <w:ilvl w:val="0"/>
          <w:numId w:val="3"/>
        </w:num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 xml:space="preserve">OGGETTO </w:t>
      </w:r>
    </w:p>
    <w:p w:rsidR="00A63B16" w:rsidRPr="00F349B3" w:rsidRDefault="00A63B16" w:rsidP="00087005">
      <w:pPr>
        <w:autoSpaceDE w:val="0"/>
        <w:autoSpaceDN w:val="0"/>
        <w:adjustRightInd w:val="0"/>
        <w:rPr>
          <w:rFonts w:eastAsiaTheme="minorHAnsi"/>
          <w:lang w:eastAsia="en-US"/>
        </w:rPr>
      </w:pPr>
    </w:p>
    <w:p w:rsidR="00604102" w:rsidRDefault="00087005" w:rsidP="00087005">
      <w:pPr>
        <w:autoSpaceDE w:val="0"/>
        <w:autoSpaceDN w:val="0"/>
        <w:adjustRightInd w:val="0"/>
        <w:jc w:val="both"/>
        <w:rPr>
          <w:rFonts w:eastAsiaTheme="minorHAnsi"/>
          <w:color w:val="141414"/>
          <w:sz w:val="22"/>
          <w:szCs w:val="22"/>
          <w:lang w:eastAsia="en-US"/>
        </w:rPr>
      </w:pPr>
      <w:r w:rsidRPr="00F349B3">
        <w:rPr>
          <w:rFonts w:eastAsiaTheme="minorHAnsi"/>
          <w:color w:val="141414"/>
          <w:sz w:val="22"/>
          <w:szCs w:val="22"/>
          <w:lang w:eastAsia="en-US"/>
        </w:rPr>
        <w:t xml:space="preserve">Fornitura e installazione di </w:t>
      </w:r>
      <w:r w:rsidR="00604102" w:rsidRPr="00604102">
        <w:rPr>
          <w:rFonts w:eastAsiaTheme="minorHAnsi"/>
          <w:color w:val="141414"/>
          <w:sz w:val="22"/>
          <w:szCs w:val="22"/>
          <w:lang w:eastAsia="en-US"/>
        </w:rPr>
        <w:t>SPETTROMETRO DI FLUORESCENZA A RAGGI X ED ACCESSORI (XRF)</w:t>
      </w:r>
      <w:r w:rsidR="00604102">
        <w:rPr>
          <w:rFonts w:eastAsiaTheme="minorHAnsi"/>
          <w:color w:val="141414"/>
          <w:sz w:val="22"/>
          <w:szCs w:val="22"/>
          <w:lang w:eastAsia="en-US"/>
        </w:rPr>
        <w:t xml:space="preserve"> </w:t>
      </w:r>
      <w:r w:rsidRPr="00F349B3">
        <w:rPr>
          <w:rFonts w:eastAsiaTheme="minorHAnsi"/>
          <w:color w:val="141414"/>
          <w:sz w:val="22"/>
          <w:szCs w:val="22"/>
          <w:lang w:eastAsia="en-US"/>
        </w:rPr>
        <w:t xml:space="preserve">per le esigenze di laboratorio e delle linee di ricerca attive dell'Istituto </w:t>
      </w:r>
      <w:r w:rsidRPr="00F349B3">
        <w:t>nell’ambito del Progetto SAC.AD002.172.042 Sviluppo delle Infrastrutture e Programma Biennale degli Interventi del Consiglio Nazionale delle Ricerche - CUP B55J1900036000,1</w:t>
      </w:r>
      <w:r w:rsidRPr="00F349B3">
        <w:rPr>
          <w:rFonts w:eastAsiaTheme="minorHAnsi"/>
          <w:color w:val="141414"/>
          <w:sz w:val="22"/>
          <w:szCs w:val="22"/>
          <w:lang w:eastAsia="en-US"/>
        </w:rPr>
        <w:t xml:space="preserve">del Consiglio Nazionale delle Ricerche, con sede in via Santa Lucia sopra Contesse, 5 – 98126 Messina, nel seguito anche "CNR-ITAE" </w:t>
      </w:r>
      <w:r w:rsidRPr="00F349B3">
        <w:t>Istituto di Tecnologie Avanzate per l’Energia “Nicola Giordano”</w:t>
      </w:r>
      <w:r w:rsidRPr="00F349B3">
        <w:rPr>
          <w:rFonts w:eastAsiaTheme="minorHAnsi"/>
          <w:color w:val="141414"/>
          <w:sz w:val="22"/>
          <w:szCs w:val="22"/>
          <w:lang w:eastAsia="en-US"/>
        </w:rPr>
        <w:t xml:space="preserve">. </w:t>
      </w:r>
    </w:p>
    <w:p w:rsidR="00604102" w:rsidRDefault="00604102" w:rsidP="00087005">
      <w:pPr>
        <w:autoSpaceDE w:val="0"/>
        <w:autoSpaceDN w:val="0"/>
        <w:adjustRightInd w:val="0"/>
        <w:jc w:val="both"/>
        <w:rPr>
          <w:rFonts w:eastAsiaTheme="minorHAnsi"/>
          <w:color w:val="141414"/>
          <w:sz w:val="22"/>
          <w:szCs w:val="22"/>
          <w:lang w:eastAsia="en-US"/>
        </w:rPr>
      </w:pPr>
    </w:p>
    <w:p w:rsidR="00604102" w:rsidRPr="00604102" w:rsidRDefault="00604102" w:rsidP="00604102">
      <w:pPr>
        <w:autoSpaceDE w:val="0"/>
        <w:autoSpaceDN w:val="0"/>
        <w:adjustRightInd w:val="0"/>
        <w:jc w:val="both"/>
        <w:rPr>
          <w:rFonts w:eastAsiaTheme="minorHAnsi"/>
          <w:bCs/>
          <w:color w:val="141414"/>
          <w:sz w:val="22"/>
          <w:szCs w:val="22"/>
          <w:lang w:eastAsia="en-US"/>
        </w:rPr>
      </w:pPr>
      <w:r w:rsidRPr="00604102">
        <w:rPr>
          <w:rFonts w:eastAsiaTheme="minorHAnsi"/>
          <w:b/>
          <w:bCs/>
          <w:color w:val="141414"/>
          <w:sz w:val="22"/>
          <w:szCs w:val="22"/>
          <w:lang w:eastAsia="en-US"/>
        </w:rPr>
        <w:t>1.1 Costituiscono oggetto della presente procedura di affidamento:</w:t>
      </w:r>
    </w:p>
    <w:p w:rsidR="00604102" w:rsidRPr="00604102" w:rsidRDefault="00604102" w:rsidP="00604102">
      <w:pPr>
        <w:autoSpaceDE w:val="0"/>
        <w:autoSpaceDN w:val="0"/>
        <w:adjustRightInd w:val="0"/>
        <w:jc w:val="both"/>
        <w:rPr>
          <w:rFonts w:eastAsiaTheme="minorHAnsi"/>
          <w:bCs/>
          <w:color w:val="141414"/>
          <w:sz w:val="22"/>
          <w:szCs w:val="22"/>
          <w:lang w:eastAsia="en-US"/>
        </w:rPr>
      </w:pPr>
    </w:p>
    <w:p w:rsidR="00604102" w:rsidRPr="00604102" w:rsidRDefault="00604102" w:rsidP="00BB0BD9">
      <w:pPr>
        <w:pStyle w:val="Paragrafoelenco"/>
        <w:numPr>
          <w:ilvl w:val="0"/>
          <w:numId w:val="2"/>
        </w:numPr>
        <w:autoSpaceDE w:val="0"/>
        <w:autoSpaceDN w:val="0"/>
        <w:adjustRightInd w:val="0"/>
        <w:jc w:val="both"/>
        <w:rPr>
          <w:rFonts w:eastAsiaTheme="minorHAnsi"/>
          <w:bCs/>
          <w:color w:val="141414"/>
          <w:sz w:val="22"/>
          <w:szCs w:val="22"/>
          <w:lang w:eastAsia="en-US"/>
        </w:rPr>
      </w:pPr>
      <w:r w:rsidRPr="00604102">
        <w:rPr>
          <w:rFonts w:eastAsiaTheme="minorHAnsi"/>
          <w:bCs/>
          <w:color w:val="141414"/>
          <w:sz w:val="22"/>
          <w:szCs w:val="22"/>
          <w:lang w:eastAsia="en-US"/>
        </w:rPr>
        <w:t>Uno spettrometro di fluorescenza a raggi X a dispersione di lunghezza d’onda (XRF-WD) per la determinazione della composizione chimica di solidi (lamine, polveri, pasticche, perle) e liquidi (corrosivi e non), conforme alle caratteristiche tecniche di cui al successivo comma 1.2 e corredato di garanzia e servizi di assistenza e manutenzione di cui ai successivi commi;</w:t>
      </w:r>
    </w:p>
    <w:p w:rsidR="00604102" w:rsidRPr="00604102" w:rsidRDefault="00604102" w:rsidP="00604102">
      <w:pPr>
        <w:autoSpaceDE w:val="0"/>
        <w:autoSpaceDN w:val="0"/>
        <w:adjustRightInd w:val="0"/>
        <w:jc w:val="both"/>
        <w:rPr>
          <w:rFonts w:eastAsiaTheme="minorHAnsi"/>
          <w:bCs/>
          <w:color w:val="141414"/>
          <w:sz w:val="22"/>
          <w:szCs w:val="22"/>
          <w:lang w:eastAsia="en-US"/>
        </w:rPr>
      </w:pPr>
    </w:p>
    <w:p w:rsidR="00604102" w:rsidRPr="00604102" w:rsidRDefault="00604102" w:rsidP="00BB0BD9">
      <w:pPr>
        <w:pStyle w:val="Paragrafoelenco"/>
        <w:numPr>
          <w:ilvl w:val="0"/>
          <w:numId w:val="2"/>
        </w:numPr>
        <w:autoSpaceDE w:val="0"/>
        <w:autoSpaceDN w:val="0"/>
        <w:adjustRightInd w:val="0"/>
        <w:jc w:val="both"/>
        <w:rPr>
          <w:rFonts w:eastAsiaTheme="minorHAnsi"/>
          <w:bCs/>
          <w:color w:val="141414"/>
          <w:sz w:val="22"/>
          <w:szCs w:val="22"/>
          <w:lang w:eastAsia="en-US"/>
        </w:rPr>
      </w:pPr>
      <w:r w:rsidRPr="00604102">
        <w:rPr>
          <w:rFonts w:eastAsiaTheme="minorHAnsi"/>
          <w:bCs/>
          <w:color w:val="141414"/>
          <w:sz w:val="22"/>
          <w:szCs w:val="22"/>
          <w:lang w:eastAsia="en-US"/>
        </w:rPr>
        <w:t>Accessori dello spettrometro di cui al punto precedente: a) cristallo analizzatore ottimizzato per elementi leggeri dall'ossigeno al magnesio; b) filtri sorgente primaria;</w:t>
      </w:r>
    </w:p>
    <w:p w:rsidR="00604102" w:rsidRPr="00604102" w:rsidRDefault="00604102" w:rsidP="00604102">
      <w:pPr>
        <w:autoSpaceDE w:val="0"/>
        <w:autoSpaceDN w:val="0"/>
        <w:adjustRightInd w:val="0"/>
        <w:jc w:val="both"/>
        <w:rPr>
          <w:rFonts w:eastAsiaTheme="minorHAnsi"/>
          <w:bCs/>
          <w:color w:val="141414"/>
          <w:sz w:val="22"/>
          <w:szCs w:val="22"/>
          <w:lang w:eastAsia="en-US"/>
        </w:rPr>
      </w:pPr>
    </w:p>
    <w:p w:rsidR="00087005" w:rsidRPr="00604102" w:rsidRDefault="00604102" w:rsidP="00BB0BD9">
      <w:pPr>
        <w:pStyle w:val="Paragrafoelenco"/>
        <w:numPr>
          <w:ilvl w:val="0"/>
          <w:numId w:val="2"/>
        </w:numPr>
        <w:autoSpaceDE w:val="0"/>
        <w:autoSpaceDN w:val="0"/>
        <w:adjustRightInd w:val="0"/>
        <w:jc w:val="both"/>
        <w:rPr>
          <w:rFonts w:eastAsiaTheme="minorHAnsi"/>
          <w:bCs/>
          <w:color w:val="141414"/>
          <w:sz w:val="22"/>
          <w:szCs w:val="22"/>
          <w:lang w:eastAsia="en-US"/>
        </w:rPr>
      </w:pPr>
      <w:r w:rsidRPr="00604102">
        <w:rPr>
          <w:rFonts w:eastAsiaTheme="minorHAnsi"/>
          <w:bCs/>
          <w:color w:val="141414"/>
          <w:sz w:val="22"/>
          <w:szCs w:val="22"/>
          <w:lang w:eastAsia="en-US"/>
        </w:rPr>
        <w:t xml:space="preserve">Ritiro con permuta di spettrometro di fluorescenza a raggi X a dispersione di lunghezza d’onda modello </w:t>
      </w:r>
      <w:proofErr w:type="spellStart"/>
      <w:r w:rsidRPr="00604102">
        <w:rPr>
          <w:rFonts w:eastAsiaTheme="minorHAnsi"/>
          <w:bCs/>
          <w:color w:val="141414"/>
          <w:sz w:val="22"/>
          <w:szCs w:val="22"/>
          <w:lang w:eastAsia="en-US"/>
        </w:rPr>
        <w:t>Bruker</w:t>
      </w:r>
      <w:proofErr w:type="spellEnd"/>
      <w:r w:rsidRPr="00604102">
        <w:rPr>
          <w:rFonts w:eastAsiaTheme="minorHAnsi"/>
          <w:bCs/>
          <w:color w:val="141414"/>
          <w:sz w:val="22"/>
          <w:szCs w:val="22"/>
          <w:lang w:eastAsia="en-US"/>
        </w:rPr>
        <w:t xml:space="preserve"> S4 Explorer da 1,5 KW, attualmente fuori servizio, presso la sede del CNR ITAE (Via Santa Lucia sopra Contesse n. 5 – Messina).</w:t>
      </w:r>
      <w:r w:rsidR="00087005" w:rsidRPr="00604102">
        <w:rPr>
          <w:rFonts w:eastAsiaTheme="minorHAnsi"/>
          <w:bCs/>
          <w:color w:val="141414"/>
          <w:sz w:val="22"/>
          <w:szCs w:val="22"/>
          <w:lang w:eastAsia="en-US"/>
        </w:rPr>
        <w:t xml:space="preserve"> </w:t>
      </w:r>
    </w:p>
    <w:p w:rsidR="00604102" w:rsidRDefault="00604102" w:rsidP="002C20D8">
      <w:pPr>
        <w:autoSpaceDE w:val="0"/>
        <w:autoSpaceDN w:val="0"/>
        <w:adjustRightInd w:val="0"/>
        <w:rPr>
          <w:rFonts w:eastAsiaTheme="minorHAnsi"/>
          <w:b/>
          <w:bCs/>
          <w:color w:val="141414"/>
          <w:sz w:val="22"/>
          <w:szCs w:val="22"/>
          <w:lang w:eastAsia="en-US"/>
        </w:rPr>
      </w:pPr>
    </w:p>
    <w:p w:rsidR="00604102" w:rsidRPr="00D01762" w:rsidRDefault="00604102" w:rsidP="00604102">
      <w:pPr>
        <w:autoSpaceDE w:val="0"/>
        <w:autoSpaceDN w:val="0"/>
        <w:adjustRightInd w:val="0"/>
        <w:rPr>
          <w:rFonts w:eastAsiaTheme="minorHAnsi"/>
          <w:b/>
          <w:bCs/>
          <w:i/>
          <w:color w:val="141414"/>
          <w:sz w:val="22"/>
          <w:szCs w:val="22"/>
          <w:u w:val="single"/>
          <w:lang w:eastAsia="en-US"/>
        </w:rPr>
      </w:pPr>
      <w:r w:rsidRPr="00D01762">
        <w:rPr>
          <w:rFonts w:eastAsiaTheme="minorHAnsi"/>
          <w:b/>
          <w:bCs/>
          <w:i/>
          <w:color w:val="141414"/>
          <w:sz w:val="22"/>
          <w:szCs w:val="22"/>
          <w:u w:val="single"/>
          <w:lang w:eastAsia="en-US"/>
        </w:rPr>
        <w:t>1.2 Spettrometro</w:t>
      </w:r>
    </w:p>
    <w:p w:rsidR="00604102" w:rsidRDefault="00604102" w:rsidP="00604102">
      <w:pPr>
        <w:autoSpaceDE w:val="0"/>
        <w:autoSpaceDN w:val="0"/>
        <w:adjustRightInd w:val="0"/>
        <w:rPr>
          <w:rFonts w:eastAsiaTheme="minorHAnsi"/>
          <w:b/>
          <w:bCs/>
          <w:color w:val="141414"/>
          <w:sz w:val="22"/>
          <w:szCs w:val="22"/>
          <w:lang w:eastAsia="en-US"/>
        </w:rPr>
      </w:pPr>
    </w:p>
    <w:p w:rsidR="00322620" w:rsidRDefault="00322620" w:rsidP="00604102">
      <w:pPr>
        <w:autoSpaceDE w:val="0"/>
        <w:autoSpaceDN w:val="0"/>
        <w:adjustRightInd w:val="0"/>
        <w:rPr>
          <w:rFonts w:eastAsiaTheme="minorHAnsi"/>
          <w:b/>
          <w:bCs/>
          <w:color w:val="141414"/>
          <w:sz w:val="22"/>
          <w:szCs w:val="22"/>
          <w:lang w:eastAsia="en-US"/>
        </w:rPr>
      </w:pPr>
      <w:r w:rsidRPr="00322620">
        <w:rPr>
          <w:rFonts w:eastAsiaTheme="minorHAnsi"/>
          <w:b/>
          <w:bCs/>
          <w:color w:val="141414"/>
          <w:sz w:val="22"/>
          <w:szCs w:val="22"/>
          <w:lang w:eastAsia="en-US"/>
        </w:rPr>
        <w:t>CARATTERISTICHE TECNICHE GENERALI</w:t>
      </w:r>
    </w:p>
    <w:p w:rsidR="00322620" w:rsidRPr="00604102" w:rsidRDefault="00322620"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Caratteristiche tecniche generali obbligatorie:</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Cs/>
          <w:color w:val="141414"/>
          <w:sz w:val="22"/>
          <w:szCs w:val="22"/>
          <w:lang w:eastAsia="en-US"/>
        </w:rPr>
      </w:pPr>
      <w:r>
        <w:rPr>
          <w:rFonts w:eastAsiaTheme="minorHAnsi"/>
          <w:bCs/>
          <w:color w:val="141414"/>
          <w:sz w:val="22"/>
          <w:szCs w:val="22"/>
          <w:lang w:eastAsia="en-US"/>
        </w:rPr>
        <w:t>L</w:t>
      </w:r>
      <w:r w:rsidRPr="00604102">
        <w:rPr>
          <w:rFonts w:eastAsiaTheme="minorHAnsi"/>
          <w:bCs/>
          <w:color w:val="141414"/>
          <w:sz w:val="22"/>
          <w:szCs w:val="22"/>
          <w:lang w:eastAsia="en-US"/>
        </w:rPr>
        <w:t>o Spettrometro di fluorescenza a raggi X a dispersione di lunghezza d’onda (XRF WD) a cammino ottico ridotto dovrà essere dotato di:</w:t>
      </w:r>
    </w:p>
    <w:p w:rsidR="00604102" w:rsidRPr="00604102" w:rsidRDefault="00604102" w:rsidP="00604102">
      <w:pPr>
        <w:autoSpaceDE w:val="0"/>
        <w:autoSpaceDN w:val="0"/>
        <w:adjustRightInd w:val="0"/>
        <w:rPr>
          <w:rFonts w:eastAsiaTheme="minorHAnsi"/>
          <w:b/>
          <w:bCs/>
          <w:color w:val="141414"/>
          <w:sz w:val="22"/>
          <w:szCs w:val="22"/>
          <w:lang w:eastAsia="en-US"/>
        </w:rPr>
      </w:pPr>
    </w:p>
    <w:p w:rsidR="003D3341" w:rsidRPr="003D3341" w:rsidRDefault="00604102" w:rsidP="00BB0BD9">
      <w:pPr>
        <w:pStyle w:val="Paragrafoelenco"/>
        <w:numPr>
          <w:ilvl w:val="0"/>
          <w:numId w:val="4"/>
        </w:numPr>
        <w:autoSpaceDE w:val="0"/>
        <w:autoSpaceDN w:val="0"/>
        <w:adjustRightInd w:val="0"/>
        <w:jc w:val="both"/>
        <w:rPr>
          <w:rFonts w:eastAsiaTheme="minorHAnsi"/>
          <w:b/>
          <w:bCs/>
          <w:color w:val="141414"/>
          <w:sz w:val="22"/>
          <w:szCs w:val="22"/>
          <w:lang w:eastAsia="en-US"/>
        </w:rPr>
      </w:pPr>
      <w:proofErr w:type="gramStart"/>
      <w:r w:rsidRPr="003D3341">
        <w:rPr>
          <w:rFonts w:eastAsiaTheme="minorHAnsi"/>
          <w:bCs/>
          <w:color w:val="141414"/>
          <w:sz w:val="22"/>
          <w:szCs w:val="22"/>
          <w:lang w:eastAsia="en-US"/>
        </w:rPr>
        <w:t>sorgente</w:t>
      </w:r>
      <w:proofErr w:type="gramEnd"/>
      <w:r w:rsidRPr="003D3341">
        <w:rPr>
          <w:rFonts w:eastAsiaTheme="minorHAnsi"/>
          <w:bCs/>
          <w:color w:val="141414"/>
          <w:sz w:val="22"/>
          <w:szCs w:val="22"/>
          <w:lang w:eastAsia="en-US"/>
        </w:rPr>
        <w:t xml:space="preserve"> di raggi X ad anodo di Rodio e tubo con finestra frontale (end </w:t>
      </w:r>
      <w:proofErr w:type="spellStart"/>
      <w:r w:rsidRPr="003D3341">
        <w:rPr>
          <w:rFonts w:eastAsiaTheme="minorHAnsi"/>
          <w:bCs/>
          <w:color w:val="141414"/>
          <w:sz w:val="22"/>
          <w:szCs w:val="22"/>
          <w:lang w:eastAsia="en-US"/>
        </w:rPr>
        <w:t>window</w:t>
      </w:r>
      <w:proofErr w:type="spellEnd"/>
      <w:r w:rsidRPr="003D3341">
        <w:rPr>
          <w:rFonts w:eastAsiaTheme="minorHAnsi"/>
          <w:bCs/>
          <w:color w:val="141414"/>
          <w:sz w:val="22"/>
          <w:szCs w:val="22"/>
          <w:lang w:eastAsia="en-US"/>
        </w:rPr>
        <w:t>), con irraggiamento del campione effettuato dal basso, con sistema di dispersione lunghezze d'onda a cristalli analizzatori rotanti e rivelatori per elementi leggeri e per elementi pesanti, alloggiati e movimentati in sistema goniometrico; saranno escluse dalla gara le offerte che no</w:t>
      </w:r>
      <w:r w:rsidR="003D3341">
        <w:rPr>
          <w:rFonts w:eastAsiaTheme="minorHAnsi"/>
          <w:bCs/>
          <w:color w:val="141414"/>
          <w:sz w:val="22"/>
          <w:szCs w:val="22"/>
          <w:lang w:eastAsia="en-US"/>
        </w:rPr>
        <w:t>n prevedono tale caratteristica;</w:t>
      </w:r>
    </w:p>
    <w:p w:rsidR="003D3341"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proofErr w:type="gramStart"/>
      <w:r w:rsidRPr="003D3341">
        <w:rPr>
          <w:rFonts w:eastAsiaTheme="minorHAnsi"/>
          <w:bCs/>
          <w:color w:val="141414"/>
          <w:sz w:val="22"/>
          <w:szCs w:val="22"/>
          <w:lang w:eastAsia="en-US"/>
        </w:rPr>
        <w:t>area</w:t>
      </w:r>
      <w:proofErr w:type="gramEnd"/>
      <w:r w:rsidRPr="003D3341">
        <w:rPr>
          <w:rFonts w:eastAsiaTheme="minorHAnsi"/>
          <w:bCs/>
          <w:color w:val="141414"/>
          <w:sz w:val="22"/>
          <w:szCs w:val="22"/>
          <w:lang w:eastAsia="en-US"/>
        </w:rPr>
        <w:t xml:space="preserve"> pre-analisi multi alloggiamento connessa ad un sistema di posizionamento e movimentazione del campione dalla zona di attesa alla camera di analisi completamente automatizzato; saranno escluse dalla gara le offerte che non prevedono tale caratteristica; </w:t>
      </w:r>
    </w:p>
    <w:p w:rsidR="003D3341"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D3341">
        <w:rPr>
          <w:rFonts w:eastAsiaTheme="minorHAnsi"/>
          <w:bCs/>
          <w:color w:val="141414"/>
          <w:sz w:val="22"/>
          <w:szCs w:val="22"/>
          <w:lang w:eastAsia="en-US"/>
        </w:rPr>
        <w:t>Sistema di gestione, monitoraggio e controllo dello strumento tramite PC esterno e unità di interfaccia, applicativo software relativo; saranno escluse dalla gara le offerte che non prevedono tale caratteristica; sarà oggetto di valutazione la possibilità di eseguire analisi direttamente gestite dallo strumento senza l’ausilio del PC esterno, con richiamo ed esecuzione di met</w:t>
      </w:r>
      <w:r w:rsidR="00557F57">
        <w:rPr>
          <w:rFonts w:eastAsiaTheme="minorHAnsi"/>
          <w:bCs/>
          <w:color w:val="141414"/>
          <w:sz w:val="22"/>
          <w:szCs w:val="22"/>
          <w:lang w:eastAsia="en-US"/>
        </w:rPr>
        <w:t>odiche di analisi pre-impostate</w:t>
      </w:r>
      <w:r w:rsidRPr="003D3341">
        <w:rPr>
          <w:rFonts w:eastAsiaTheme="minorHAnsi"/>
          <w:bCs/>
          <w:color w:val="141414"/>
          <w:sz w:val="22"/>
          <w:szCs w:val="22"/>
          <w:lang w:eastAsia="en-US"/>
        </w:rPr>
        <w:t xml:space="preserve"> e relativo applicativo software di prevenzione degli errori umani, con livelli di accesso differenziati su qualifica predeterminata</w:t>
      </w:r>
      <w:r w:rsidR="003D3341" w:rsidRPr="003D3341">
        <w:rPr>
          <w:rFonts w:eastAsiaTheme="minorHAnsi"/>
          <w:bCs/>
          <w:color w:val="141414"/>
          <w:sz w:val="22"/>
          <w:szCs w:val="22"/>
          <w:lang w:eastAsia="en-US"/>
        </w:rPr>
        <w:t>;</w:t>
      </w:r>
    </w:p>
    <w:p w:rsidR="003D3341" w:rsidRDefault="003D3341"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lastRenderedPageBreak/>
        <w:t>D</w:t>
      </w:r>
      <w:r w:rsidR="00604102" w:rsidRPr="003D3341">
        <w:rPr>
          <w:rFonts w:eastAsiaTheme="minorHAnsi"/>
          <w:bCs/>
          <w:color w:val="141414"/>
          <w:sz w:val="22"/>
          <w:szCs w:val="22"/>
          <w:lang w:eastAsia="en-US"/>
        </w:rPr>
        <w:t>ispositivo di raffreddamento ad acqua a circuito chiuso; saranno escluse dalla gara le offerte che non</w:t>
      </w:r>
      <w:r>
        <w:rPr>
          <w:rFonts w:eastAsiaTheme="minorHAnsi"/>
          <w:bCs/>
          <w:color w:val="141414"/>
          <w:sz w:val="22"/>
          <w:szCs w:val="22"/>
          <w:lang w:eastAsia="en-US"/>
        </w:rPr>
        <w:t xml:space="preserve"> prevedono tale caratteristica;</w:t>
      </w:r>
    </w:p>
    <w:p w:rsidR="003D3341"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D3341">
        <w:rPr>
          <w:rFonts w:eastAsiaTheme="minorHAnsi"/>
          <w:bCs/>
          <w:color w:val="141414"/>
          <w:sz w:val="22"/>
          <w:szCs w:val="22"/>
          <w:lang w:eastAsia="en-US"/>
        </w:rPr>
        <w:t>Corpo macchina di dimensioni compatte (dimensioni massime: alte</w:t>
      </w:r>
      <w:r w:rsidR="00557F57">
        <w:rPr>
          <w:rFonts w:eastAsiaTheme="minorHAnsi"/>
          <w:bCs/>
          <w:color w:val="141414"/>
          <w:sz w:val="22"/>
          <w:szCs w:val="22"/>
          <w:lang w:eastAsia="en-US"/>
        </w:rPr>
        <w:t>zza x ampiezza x profondità = 18</w:t>
      </w:r>
      <w:r w:rsidRPr="003D3341">
        <w:rPr>
          <w:rFonts w:eastAsiaTheme="minorHAnsi"/>
          <w:bCs/>
          <w:color w:val="141414"/>
          <w:sz w:val="22"/>
          <w:szCs w:val="22"/>
          <w:lang w:eastAsia="en-US"/>
        </w:rPr>
        <w:t>0cm x 1</w:t>
      </w:r>
      <w:r w:rsidR="00557F57">
        <w:rPr>
          <w:rFonts w:eastAsiaTheme="minorHAnsi"/>
          <w:bCs/>
          <w:color w:val="141414"/>
          <w:sz w:val="22"/>
          <w:szCs w:val="22"/>
          <w:lang w:eastAsia="en-US"/>
        </w:rPr>
        <w:t>8</w:t>
      </w:r>
      <w:r w:rsidRPr="003D3341">
        <w:rPr>
          <w:rFonts w:eastAsiaTheme="minorHAnsi"/>
          <w:bCs/>
          <w:color w:val="141414"/>
          <w:sz w:val="22"/>
          <w:szCs w:val="22"/>
          <w:lang w:eastAsia="en-US"/>
        </w:rPr>
        <w:t>0cm x 1</w:t>
      </w:r>
      <w:r w:rsidR="00557F57">
        <w:rPr>
          <w:rFonts w:eastAsiaTheme="minorHAnsi"/>
          <w:bCs/>
          <w:color w:val="141414"/>
          <w:sz w:val="22"/>
          <w:szCs w:val="22"/>
          <w:lang w:eastAsia="en-US"/>
        </w:rPr>
        <w:t>5</w:t>
      </w:r>
      <w:r w:rsidRPr="003D3341">
        <w:rPr>
          <w:rFonts w:eastAsiaTheme="minorHAnsi"/>
          <w:bCs/>
          <w:color w:val="141414"/>
          <w:sz w:val="22"/>
          <w:szCs w:val="22"/>
          <w:lang w:eastAsia="en-US"/>
        </w:rPr>
        <w:t xml:space="preserve">0cm) che includa nel suo interno l’elettronica, il generatore, la sorgente dei raggi X, </w:t>
      </w:r>
      <w:r w:rsidR="00557F57">
        <w:rPr>
          <w:rFonts w:eastAsiaTheme="minorHAnsi"/>
          <w:bCs/>
          <w:color w:val="141414"/>
          <w:sz w:val="22"/>
          <w:szCs w:val="22"/>
          <w:lang w:eastAsia="en-US"/>
        </w:rPr>
        <w:t xml:space="preserve">i </w:t>
      </w:r>
      <w:r w:rsidRPr="003D3341">
        <w:rPr>
          <w:rFonts w:eastAsiaTheme="minorHAnsi"/>
          <w:bCs/>
          <w:color w:val="141414"/>
          <w:sz w:val="22"/>
          <w:szCs w:val="22"/>
          <w:lang w:eastAsia="en-US"/>
        </w:rPr>
        <w:t xml:space="preserve">due detector, il goniometro, </w:t>
      </w:r>
      <w:r w:rsidR="00557F57">
        <w:rPr>
          <w:rFonts w:eastAsiaTheme="minorHAnsi"/>
          <w:bCs/>
          <w:color w:val="141414"/>
          <w:sz w:val="22"/>
          <w:szCs w:val="22"/>
          <w:lang w:eastAsia="en-US"/>
        </w:rPr>
        <w:t xml:space="preserve">l’unità </w:t>
      </w:r>
      <w:r w:rsidR="00557F57" w:rsidRPr="003D3341">
        <w:rPr>
          <w:rFonts w:eastAsiaTheme="minorHAnsi"/>
          <w:bCs/>
          <w:color w:val="141414"/>
          <w:sz w:val="22"/>
          <w:szCs w:val="22"/>
          <w:lang w:eastAsia="en-US"/>
        </w:rPr>
        <w:t>di ra</w:t>
      </w:r>
      <w:r w:rsidR="00557F57">
        <w:rPr>
          <w:rFonts w:eastAsiaTheme="minorHAnsi"/>
          <w:bCs/>
          <w:color w:val="141414"/>
          <w:sz w:val="22"/>
          <w:szCs w:val="22"/>
          <w:lang w:eastAsia="en-US"/>
        </w:rPr>
        <w:t xml:space="preserve">ffreddamento ad acqua, </w:t>
      </w:r>
      <w:r w:rsidRPr="003D3341">
        <w:rPr>
          <w:rFonts w:eastAsiaTheme="minorHAnsi"/>
          <w:bCs/>
          <w:color w:val="141414"/>
          <w:sz w:val="22"/>
          <w:szCs w:val="22"/>
          <w:lang w:eastAsia="en-US"/>
        </w:rPr>
        <w:t xml:space="preserve">i cristalli analizzatori, la zona di carico </w:t>
      </w:r>
      <w:r w:rsidR="00557F57">
        <w:rPr>
          <w:rFonts w:eastAsiaTheme="minorHAnsi"/>
          <w:bCs/>
          <w:color w:val="141414"/>
          <w:sz w:val="22"/>
          <w:szCs w:val="22"/>
          <w:lang w:eastAsia="en-US"/>
        </w:rPr>
        <w:t xml:space="preserve">e di attesa </w:t>
      </w:r>
      <w:r w:rsidRPr="003D3341">
        <w:rPr>
          <w:rFonts w:eastAsiaTheme="minorHAnsi"/>
          <w:bCs/>
          <w:color w:val="141414"/>
          <w:sz w:val="22"/>
          <w:szCs w:val="22"/>
          <w:lang w:eastAsia="en-US"/>
        </w:rPr>
        <w:t xml:space="preserve">dei campioni, la camera di analisi e il sistema di gestione e controllo della pressione; saranno escluse dalla gara le offerte che non prevedono tale caratteristica; </w:t>
      </w:r>
    </w:p>
    <w:p w:rsidR="003D3341" w:rsidRPr="003D3341" w:rsidRDefault="003D3341"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D3341">
        <w:rPr>
          <w:rFonts w:eastAsiaTheme="minorHAnsi"/>
          <w:bCs/>
          <w:color w:val="141414"/>
          <w:sz w:val="22"/>
          <w:szCs w:val="22"/>
          <w:lang w:eastAsia="en-US"/>
        </w:rPr>
        <w:t>G</w:t>
      </w:r>
      <w:r w:rsidR="00604102" w:rsidRPr="003D3341">
        <w:rPr>
          <w:rFonts w:eastAsiaTheme="minorHAnsi"/>
          <w:bCs/>
          <w:color w:val="141414"/>
          <w:sz w:val="22"/>
          <w:szCs w:val="22"/>
          <w:lang w:eastAsia="en-US"/>
        </w:rPr>
        <w:t xml:space="preserve">eneratore da 4kW, tensione e corrente di esercizio della sorgente di raggi X modulabile tra 20-60 </w:t>
      </w:r>
      <w:proofErr w:type="spellStart"/>
      <w:r w:rsidR="00604102" w:rsidRPr="003D3341">
        <w:rPr>
          <w:rFonts w:eastAsiaTheme="minorHAnsi"/>
          <w:bCs/>
          <w:color w:val="141414"/>
          <w:sz w:val="22"/>
          <w:szCs w:val="22"/>
          <w:lang w:eastAsia="en-US"/>
        </w:rPr>
        <w:t>kV</w:t>
      </w:r>
      <w:proofErr w:type="spellEnd"/>
      <w:r w:rsidR="00604102" w:rsidRPr="003D3341">
        <w:rPr>
          <w:rFonts w:eastAsiaTheme="minorHAnsi"/>
          <w:bCs/>
          <w:color w:val="141414"/>
          <w:sz w:val="22"/>
          <w:szCs w:val="22"/>
          <w:lang w:eastAsia="en-US"/>
        </w:rPr>
        <w:t xml:space="preserve"> e 5-150 </w:t>
      </w:r>
      <w:proofErr w:type="spellStart"/>
      <w:r w:rsidR="00604102" w:rsidRPr="003D3341">
        <w:rPr>
          <w:rFonts w:eastAsiaTheme="minorHAnsi"/>
          <w:bCs/>
          <w:color w:val="141414"/>
          <w:sz w:val="22"/>
          <w:szCs w:val="22"/>
          <w:lang w:eastAsia="en-US"/>
        </w:rPr>
        <w:t>mA</w:t>
      </w:r>
      <w:proofErr w:type="spellEnd"/>
      <w:r w:rsidR="00604102" w:rsidRPr="003D3341">
        <w:rPr>
          <w:rFonts w:eastAsiaTheme="minorHAnsi"/>
          <w:bCs/>
          <w:color w:val="141414"/>
          <w:sz w:val="22"/>
          <w:szCs w:val="22"/>
          <w:lang w:eastAsia="en-US"/>
        </w:rPr>
        <w:t>, variabili con passi incremental</w:t>
      </w:r>
      <w:r w:rsidR="00154D82">
        <w:rPr>
          <w:rFonts w:eastAsiaTheme="minorHAnsi"/>
          <w:bCs/>
          <w:color w:val="141414"/>
          <w:sz w:val="22"/>
          <w:szCs w:val="22"/>
          <w:lang w:eastAsia="en-US"/>
        </w:rPr>
        <w:t>i (</w:t>
      </w:r>
      <w:proofErr w:type="spellStart"/>
      <w:r w:rsidR="00154D82">
        <w:rPr>
          <w:rFonts w:eastAsiaTheme="minorHAnsi"/>
          <w:bCs/>
          <w:color w:val="141414"/>
          <w:sz w:val="22"/>
          <w:szCs w:val="22"/>
          <w:lang w:eastAsia="en-US"/>
        </w:rPr>
        <w:t>step</w:t>
      </w:r>
      <w:proofErr w:type="spellEnd"/>
      <w:r w:rsidR="00154D82">
        <w:rPr>
          <w:rFonts w:eastAsiaTheme="minorHAnsi"/>
          <w:bCs/>
          <w:color w:val="141414"/>
          <w:sz w:val="22"/>
          <w:szCs w:val="22"/>
          <w:lang w:eastAsia="en-US"/>
        </w:rPr>
        <w:t xml:space="preserve"> </w:t>
      </w:r>
      <w:proofErr w:type="spellStart"/>
      <w:r w:rsidR="00154D82">
        <w:rPr>
          <w:rFonts w:eastAsiaTheme="minorHAnsi"/>
          <w:bCs/>
          <w:color w:val="141414"/>
          <w:sz w:val="22"/>
          <w:szCs w:val="22"/>
          <w:lang w:eastAsia="en-US"/>
        </w:rPr>
        <w:t>size</w:t>
      </w:r>
      <w:proofErr w:type="spellEnd"/>
      <w:r w:rsidR="00154D82">
        <w:rPr>
          <w:rFonts w:eastAsiaTheme="minorHAnsi"/>
          <w:bCs/>
          <w:color w:val="141414"/>
          <w:sz w:val="22"/>
          <w:szCs w:val="22"/>
          <w:lang w:eastAsia="en-US"/>
        </w:rPr>
        <w:t>) non più ampi di 5kV e 5</w:t>
      </w:r>
      <w:r w:rsidR="00604102" w:rsidRPr="003D3341">
        <w:rPr>
          <w:rFonts w:eastAsiaTheme="minorHAnsi"/>
          <w:bCs/>
          <w:color w:val="141414"/>
          <w:sz w:val="22"/>
          <w:szCs w:val="22"/>
          <w:lang w:eastAsia="en-US"/>
        </w:rPr>
        <w:t xml:space="preserve">mA, e stabilità della tensione della corrente al tubo migliore di +/- 0,005% per variazioni di rete di +/- 1%; saranno escluse dalla gara le offerte che non prevedono tale caratteristica; </w:t>
      </w:r>
    </w:p>
    <w:p w:rsidR="003D3341" w:rsidRPr="003D3341" w:rsidRDefault="003D3341"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D3341">
        <w:rPr>
          <w:rFonts w:eastAsiaTheme="minorHAnsi"/>
          <w:bCs/>
          <w:color w:val="141414"/>
          <w:sz w:val="22"/>
          <w:szCs w:val="22"/>
          <w:lang w:eastAsia="en-US"/>
        </w:rPr>
        <w:t>E</w:t>
      </w:r>
      <w:r w:rsidR="00604102" w:rsidRPr="003D3341">
        <w:rPr>
          <w:rFonts w:eastAsiaTheme="minorHAnsi"/>
          <w:bCs/>
          <w:color w:val="141414"/>
          <w:sz w:val="22"/>
          <w:szCs w:val="22"/>
          <w:lang w:eastAsia="en-US"/>
        </w:rPr>
        <w:t xml:space="preserve">levata intensità dei fotoni emessi dalla sorgente di raggi X e elevato grado di </w:t>
      </w:r>
      <w:r w:rsidR="003F7C88">
        <w:rPr>
          <w:rFonts w:eastAsiaTheme="minorHAnsi"/>
          <w:bCs/>
          <w:color w:val="141414"/>
          <w:sz w:val="22"/>
          <w:szCs w:val="22"/>
          <w:lang w:eastAsia="en-US"/>
        </w:rPr>
        <w:t>p</w:t>
      </w:r>
      <w:r w:rsidR="00604102" w:rsidRPr="003D3341">
        <w:rPr>
          <w:rFonts w:eastAsiaTheme="minorHAnsi"/>
          <w:bCs/>
          <w:color w:val="141414"/>
          <w:sz w:val="22"/>
          <w:szCs w:val="22"/>
          <w:lang w:eastAsia="en-US"/>
        </w:rPr>
        <w:t xml:space="preserve">roporzionalità tra emissione dei fotoni e </w:t>
      </w:r>
      <w:r w:rsidR="003F7C88">
        <w:rPr>
          <w:rFonts w:eastAsiaTheme="minorHAnsi"/>
          <w:bCs/>
          <w:color w:val="141414"/>
          <w:sz w:val="22"/>
          <w:szCs w:val="22"/>
          <w:lang w:eastAsia="en-US"/>
        </w:rPr>
        <w:t xml:space="preserve">la </w:t>
      </w:r>
      <w:r w:rsidR="00604102" w:rsidRPr="003D3341">
        <w:rPr>
          <w:rFonts w:eastAsiaTheme="minorHAnsi"/>
          <w:bCs/>
          <w:color w:val="141414"/>
          <w:sz w:val="22"/>
          <w:szCs w:val="22"/>
          <w:lang w:eastAsia="en-US"/>
        </w:rPr>
        <w:t xml:space="preserve">corrente applicata al tubo della sorgente di raggi X, corrente massima di esercizio del filamento non inferiore a 150 </w:t>
      </w:r>
      <w:proofErr w:type="spellStart"/>
      <w:r w:rsidR="00604102" w:rsidRPr="003D3341">
        <w:rPr>
          <w:rFonts w:eastAsiaTheme="minorHAnsi"/>
          <w:bCs/>
          <w:color w:val="141414"/>
          <w:sz w:val="22"/>
          <w:szCs w:val="22"/>
          <w:lang w:eastAsia="en-US"/>
        </w:rPr>
        <w:t>mA</w:t>
      </w:r>
      <w:proofErr w:type="spellEnd"/>
      <w:r w:rsidR="00604102" w:rsidRPr="003D3341">
        <w:rPr>
          <w:rFonts w:eastAsiaTheme="minorHAnsi"/>
          <w:bCs/>
          <w:color w:val="141414"/>
          <w:sz w:val="22"/>
          <w:szCs w:val="22"/>
          <w:lang w:eastAsia="en-US"/>
        </w:rPr>
        <w:t>; saranno escluse dalla gara le offerte che non</w:t>
      </w:r>
      <w:r w:rsidRPr="003D3341">
        <w:rPr>
          <w:rFonts w:eastAsiaTheme="minorHAnsi"/>
          <w:bCs/>
          <w:color w:val="141414"/>
          <w:sz w:val="22"/>
          <w:szCs w:val="22"/>
          <w:lang w:eastAsia="en-US"/>
        </w:rPr>
        <w:t xml:space="preserve"> prevedono tale caratteristica;</w:t>
      </w:r>
    </w:p>
    <w:p w:rsidR="00604102" w:rsidRPr="003D3341" w:rsidRDefault="003D3341"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D3341">
        <w:rPr>
          <w:rFonts w:eastAsiaTheme="minorHAnsi"/>
          <w:bCs/>
          <w:color w:val="141414"/>
          <w:sz w:val="22"/>
          <w:szCs w:val="22"/>
          <w:lang w:eastAsia="en-US"/>
        </w:rPr>
        <w:t>C</w:t>
      </w:r>
      <w:r w:rsidR="00604102" w:rsidRPr="003D3341">
        <w:rPr>
          <w:rFonts w:eastAsiaTheme="minorHAnsi"/>
          <w:bCs/>
          <w:color w:val="141414"/>
          <w:sz w:val="22"/>
          <w:szCs w:val="22"/>
          <w:lang w:eastAsia="en-US"/>
        </w:rPr>
        <w:t>omputer e software di gestione dello strumento operante in ambiente Windows (Windows 10 o superiore), provvisto di interfacce USB 3.0, video e stampante a colori; saranno escluse dalla gara le offerte ch</w:t>
      </w:r>
      <w:r>
        <w:rPr>
          <w:rFonts w:eastAsiaTheme="minorHAnsi"/>
          <w:bCs/>
          <w:color w:val="141414"/>
          <w:sz w:val="22"/>
          <w:szCs w:val="22"/>
          <w:lang w:eastAsia="en-US"/>
        </w:rPr>
        <w:t>e non prevedono tale dotazione;</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Caratteristiche tecniche generali non obbligatorie:</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217C13" w:rsidRDefault="00604102" w:rsidP="005F58C3">
      <w:pPr>
        <w:autoSpaceDE w:val="0"/>
        <w:autoSpaceDN w:val="0"/>
        <w:adjustRightInd w:val="0"/>
        <w:jc w:val="both"/>
        <w:rPr>
          <w:rFonts w:eastAsiaTheme="minorHAnsi"/>
          <w:bCs/>
          <w:color w:val="FF0000"/>
          <w:sz w:val="22"/>
          <w:szCs w:val="22"/>
          <w:lang w:eastAsia="en-US"/>
        </w:rPr>
      </w:pPr>
      <w:r w:rsidRPr="005464F9">
        <w:rPr>
          <w:rFonts w:eastAsiaTheme="minorHAnsi"/>
          <w:bCs/>
          <w:color w:val="141414"/>
          <w:sz w:val="22"/>
          <w:szCs w:val="22"/>
          <w:lang w:eastAsia="en-US"/>
        </w:rPr>
        <w:t>Si indicano di seguito le caratteristiche tecniche non obbligatorie dello Spettrometro di fluorescenza a raggi X a dispersione di lunghezza d’onda (XRF WD) a cammino ottico ridotto, la cui previsione nell’offerta tecnica comporterà l’attribuzione di punteggio, nei limiti e secondo le regole di valutazione</w:t>
      </w:r>
      <w:r w:rsidR="00996DDF">
        <w:rPr>
          <w:rFonts w:eastAsiaTheme="minorHAnsi"/>
          <w:bCs/>
          <w:color w:val="141414"/>
          <w:sz w:val="22"/>
          <w:szCs w:val="22"/>
          <w:lang w:eastAsia="en-US"/>
        </w:rPr>
        <w:t>:</w:t>
      </w:r>
      <w:r w:rsidRPr="00217C13">
        <w:rPr>
          <w:rFonts w:eastAsiaTheme="minorHAnsi"/>
          <w:bCs/>
          <w:color w:val="FF0000"/>
          <w:sz w:val="22"/>
          <w:szCs w:val="22"/>
          <w:lang w:eastAsia="en-US"/>
        </w:rPr>
        <w:t xml:space="preserve"> </w:t>
      </w:r>
    </w:p>
    <w:p w:rsidR="00604102" w:rsidRPr="00604102" w:rsidRDefault="00604102" w:rsidP="00604102">
      <w:pPr>
        <w:autoSpaceDE w:val="0"/>
        <w:autoSpaceDN w:val="0"/>
        <w:adjustRightInd w:val="0"/>
        <w:rPr>
          <w:rFonts w:eastAsiaTheme="minorHAnsi"/>
          <w:b/>
          <w:bCs/>
          <w:color w:val="141414"/>
          <w:sz w:val="22"/>
          <w:szCs w:val="22"/>
          <w:lang w:eastAsia="en-US"/>
        </w:rPr>
      </w:pPr>
    </w:p>
    <w:p w:rsidR="005F58C3" w:rsidRPr="005F58C3" w:rsidRDefault="005F58C3"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5F58C3">
        <w:rPr>
          <w:rFonts w:eastAsiaTheme="minorHAnsi"/>
          <w:bCs/>
          <w:color w:val="141414"/>
          <w:sz w:val="22"/>
          <w:szCs w:val="22"/>
          <w:lang w:eastAsia="en-US"/>
        </w:rPr>
        <w:t>S</w:t>
      </w:r>
      <w:r w:rsidR="00604102" w:rsidRPr="005F58C3">
        <w:rPr>
          <w:rFonts w:eastAsiaTheme="minorHAnsi"/>
          <w:bCs/>
          <w:color w:val="141414"/>
          <w:sz w:val="22"/>
          <w:szCs w:val="22"/>
          <w:lang w:eastAsia="en-US"/>
        </w:rPr>
        <w:t>oftware per la lettura e l'importazione diretta di librerie, di metodiche di calibrazione e di analisi, messe a punto o espressamente realizzate dal committente (CNR-ITAE) e dell'archivio delle misure pregresse, con scrittura file di estensione rispettivamente FILE.mm (</w:t>
      </w:r>
      <w:proofErr w:type="spellStart"/>
      <w:r w:rsidR="00604102" w:rsidRPr="005F58C3">
        <w:rPr>
          <w:rFonts w:eastAsiaTheme="minorHAnsi"/>
          <w:bCs/>
          <w:color w:val="141414"/>
          <w:sz w:val="22"/>
          <w:szCs w:val="22"/>
          <w:lang w:eastAsia="en-US"/>
        </w:rPr>
        <w:t>measurament</w:t>
      </w:r>
      <w:proofErr w:type="spellEnd"/>
      <w:r w:rsidR="00604102" w:rsidRPr="005F58C3">
        <w:rPr>
          <w:rFonts w:eastAsiaTheme="minorHAnsi"/>
          <w:bCs/>
          <w:color w:val="141414"/>
          <w:sz w:val="22"/>
          <w:szCs w:val="22"/>
          <w:lang w:eastAsia="en-US"/>
        </w:rPr>
        <w:t xml:space="preserve"> </w:t>
      </w:r>
      <w:proofErr w:type="spellStart"/>
      <w:r w:rsidR="00604102" w:rsidRPr="005F58C3">
        <w:rPr>
          <w:rFonts w:eastAsiaTheme="minorHAnsi"/>
          <w:bCs/>
          <w:color w:val="141414"/>
          <w:sz w:val="22"/>
          <w:szCs w:val="22"/>
          <w:lang w:eastAsia="en-US"/>
        </w:rPr>
        <w:t>method</w:t>
      </w:r>
      <w:proofErr w:type="spellEnd"/>
      <w:r w:rsidR="00604102" w:rsidRPr="005F58C3">
        <w:rPr>
          <w:rFonts w:eastAsiaTheme="minorHAnsi"/>
          <w:bCs/>
          <w:color w:val="141414"/>
          <w:sz w:val="22"/>
          <w:szCs w:val="22"/>
          <w:lang w:eastAsia="en-US"/>
        </w:rPr>
        <w:t xml:space="preserve">) e </w:t>
      </w:r>
      <w:proofErr w:type="spellStart"/>
      <w:r w:rsidRPr="005F58C3">
        <w:rPr>
          <w:rFonts w:eastAsiaTheme="minorHAnsi"/>
          <w:bCs/>
          <w:color w:val="141414"/>
          <w:sz w:val="22"/>
          <w:szCs w:val="22"/>
          <w:lang w:eastAsia="en-US"/>
        </w:rPr>
        <w:t>FILE.ssd</w:t>
      </w:r>
      <w:proofErr w:type="spellEnd"/>
      <w:r w:rsidRPr="005F58C3">
        <w:rPr>
          <w:rFonts w:eastAsiaTheme="minorHAnsi"/>
          <w:bCs/>
          <w:color w:val="141414"/>
          <w:sz w:val="22"/>
          <w:szCs w:val="22"/>
          <w:lang w:eastAsia="en-US"/>
        </w:rPr>
        <w:t xml:space="preserve"> (</w:t>
      </w:r>
      <w:proofErr w:type="spellStart"/>
      <w:r w:rsidRPr="005F58C3">
        <w:rPr>
          <w:rFonts w:eastAsiaTheme="minorHAnsi"/>
          <w:bCs/>
          <w:color w:val="141414"/>
          <w:sz w:val="22"/>
          <w:szCs w:val="22"/>
          <w:lang w:eastAsia="en-US"/>
        </w:rPr>
        <w:t>evaluation</w:t>
      </w:r>
      <w:proofErr w:type="spellEnd"/>
      <w:r w:rsidRPr="005F58C3">
        <w:rPr>
          <w:rFonts w:eastAsiaTheme="minorHAnsi"/>
          <w:bCs/>
          <w:color w:val="141414"/>
          <w:sz w:val="22"/>
          <w:szCs w:val="22"/>
          <w:lang w:eastAsia="en-US"/>
        </w:rPr>
        <w:t xml:space="preserve"> </w:t>
      </w:r>
      <w:proofErr w:type="spellStart"/>
      <w:r w:rsidRPr="005F58C3">
        <w:rPr>
          <w:rFonts w:eastAsiaTheme="minorHAnsi"/>
          <w:bCs/>
          <w:color w:val="141414"/>
          <w:sz w:val="22"/>
          <w:szCs w:val="22"/>
          <w:lang w:eastAsia="en-US"/>
        </w:rPr>
        <w:t>document</w:t>
      </w:r>
      <w:proofErr w:type="spellEnd"/>
      <w:r w:rsidRPr="005F58C3">
        <w:rPr>
          <w:rFonts w:eastAsiaTheme="minorHAnsi"/>
          <w:bCs/>
          <w:color w:val="141414"/>
          <w:sz w:val="22"/>
          <w:szCs w:val="22"/>
          <w:lang w:eastAsia="en-US"/>
        </w:rPr>
        <w:t>);</w:t>
      </w:r>
    </w:p>
    <w:p w:rsidR="00604102" w:rsidRPr="005F58C3" w:rsidRDefault="005F58C3"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5F58C3">
        <w:rPr>
          <w:rFonts w:eastAsiaTheme="minorHAnsi"/>
          <w:bCs/>
          <w:color w:val="141414"/>
          <w:sz w:val="22"/>
          <w:szCs w:val="22"/>
          <w:lang w:eastAsia="en-US"/>
        </w:rPr>
        <w:t>P</w:t>
      </w:r>
      <w:r w:rsidR="00604102" w:rsidRPr="005F58C3">
        <w:rPr>
          <w:rFonts w:eastAsiaTheme="minorHAnsi"/>
          <w:bCs/>
          <w:color w:val="141414"/>
          <w:sz w:val="22"/>
          <w:szCs w:val="22"/>
          <w:lang w:eastAsia="en-US"/>
        </w:rPr>
        <w:t xml:space="preserve">ortacampioni monouso, per alta (&gt;2,0 grammi), media (2,0-0,2 grammi) e bassa (&lt;0,2 grammi) quantità di campione, sia per solidi, (es. lamine, polveri, pasticche e perle) che per liquidi, con una fornitura di portacampioni non inferiore a 200 unità e di </w:t>
      </w:r>
      <w:proofErr w:type="spellStart"/>
      <w:r w:rsidR="00604102" w:rsidRPr="005F58C3">
        <w:rPr>
          <w:rFonts w:eastAsiaTheme="minorHAnsi"/>
          <w:bCs/>
          <w:color w:val="141414"/>
          <w:sz w:val="22"/>
          <w:szCs w:val="22"/>
          <w:lang w:eastAsia="en-US"/>
        </w:rPr>
        <w:t>holder</w:t>
      </w:r>
      <w:proofErr w:type="spellEnd"/>
      <w:r w:rsidR="00604102" w:rsidRPr="005F58C3">
        <w:rPr>
          <w:rFonts w:eastAsiaTheme="minorHAnsi"/>
          <w:bCs/>
          <w:color w:val="141414"/>
          <w:sz w:val="22"/>
          <w:szCs w:val="22"/>
          <w:lang w:eastAsia="en-US"/>
        </w:rPr>
        <w:t xml:space="preserve"> di posizionamento </w:t>
      </w:r>
      <w:proofErr w:type="spellStart"/>
      <w:r w:rsidR="00604102" w:rsidRPr="005F58C3">
        <w:rPr>
          <w:rFonts w:eastAsiaTheme="minorHAnsi"/>
          <w:bCs/>
          <w:color w:val="141414"/>
          <w:sz w:val="22"/>
          <w:szCs w:val="22"/>
          <w:lang w:eastAsia="en-US"/>
        </w:rPr>
        <w:t>portac</w:t>
      </w:r>
      <w:r w:rsidRPr="005F58C3">
        <w:rPr>
          <w:rFonts w:eastAsiaTheme="minorHAnsi"/>
          <w:bCs/>
          <w:color w:val="141414"/>
          <w:sz w:val="22"/>
          <w:szCs w:val="22"/>
          <w:lang w:eastAsia="en-US"/>
        </w:rPr>
        <w:t>ampioni</w:t>
      </w:r>
      <w:proofErr w:type="spellEnd"/>
      <w:r w:rsidRPr="005F58C3">
        <w:rPr>
          <w:rFonts w:eastAsiaTheme="minorHAnsi"/>
          <w:bCs/>
          <w:color w:val="141414"/>
          <w:sz w:val="22"/>
          <w:szCs w:val="22"/>
          <w:lang w:eastAsia="en-US"/>
        </w:rPr>
        <w:t xml:space="preserve"> non inferiore a 4 unità;</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CARATTERISTICHE TECNICHE SPECIFICHE</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Caratteristiche tecniche specifiche obbligatorie:</w:t>
      </w:r>
    </w:p>
    <w:p w:rsidR="00604102" w:rsidRPr="00604102" w:rsidRDefault="00604102" w:rsidP="00604102">
      <w:pPr>
        <w:autoSpaceDE w:val="0"/>
        <w:autoSpaceDN w:val="0"/>
        <w:adjustRightInd w:val="0"/>
        <w:rPr>
          <w:rFonts w:eastAsiaTheme="minorHAnsi"/>
          <w:b/>
          <w:bCs/>
          <w:color w:val="141414"/>
          <w:sz w:val="22"/>
          <w:szCs w:val="22"/>
          <w:lang w:eastAsia="en-US"/>
        </w:rPr>
      </w:pPr>
    </w:p>
    <w:p w:rsidR="00322620" w:rsidRPr="00322620" w:rsidRDefault="00322620"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22620">
        <w:rPr>
          <w:rFonts w:eastAsiaTheme="minorHAnsi"/>
          <w:bCs/>
          <w:color w:val="141414"/>
          <w:sz w:val="22"/>
          <w:szCs w:val="22"/>
          <w:lang w:eastAsia="en-US"/>
        </w:rPr>
        <w:t>T</w:t>
      </w:r>
      <w:r w:rsidR="00604102" w:rsidRPr="00322620">
        <w:rPr>
          <w:rFonts w:eastAsiaTheme="minorHAnsi"/>
          <w:bCs/>
          <w:color w:val="141414"/>
          <w:sz w:val="22"/>
          <w:szCs w:val="22"/>
          <w:lang w:eastAsia="en-US"/>
        </w:rPr>
        <w:t xml:space="preserve">ubo sorgente raggi X ad anodo di Rodio da 4kW e finestra ultrasottile, con il minore rapporto spessore/diametro della finestra, comunque non superiore a 0,5 </w:t>
      </w:r>
      <w:r w:rsidRPr="00322620">
        <w:rPr>
          <w:rFonts w:ascii="Symbol" w:hAnsi="Symbol"/>
          <w:sz w:val="22"/>
          <w:szCs w:val="22"/>
        </w:rPr>
        <w:t></w:t>
      </w:r>
      <w:r w:rsidR="00604102" w:rsidRPr="00322620">
        <w:rPr>
          <w:rFonts w:eastAsiaTheme="minorHAnsi"/>
          <w:bCs/>
          <w:color w:val="141414"/>
          <w:sz w:val="22"/>
          <w:szCs w:val="22"/>
          <w:lang w:eastAsia="en-US"/>
        </w:rPr>
        <w:t>m/</w:t>
      </w:r>
      <w:r w:rsidRPr="00322620">
        <w:rPr>
          <w:rFonts w:ascii="Symbol" w:hAnsi="Symbol"/>
          <w:sz w:val="22"/>
          <w:szCs w:val="22"/>
        </w:rPr>
        <w:t></w:t>
      </w:r>
      <w:r w:rsidR="00604102" w:rsidRPr="00322620">
        <w:rPr>
          <w:rFonts w:eastAsiaTheme="minorHAnsi"/>
          <w:bCs/>
          <w:color w:val="141414"/>
          <w:sz w:val="22"/>
          <w:szCs w:val="22"/>
          <w:lang w:eastAsia="en-US"/>
        </w:rPr>
        <w:t>m; saranno escluse dalla gara le offerte che non</w:t>
      </w:r>
      <w:r w:rsidRPr="00322620">
        <w:rPr>
          <w:rFonts w:eastAsiaTheme="minorHAnsi"/>
          <w:bCs/>
          <w:color w:val="141414"/>
          <w:sz w:val="22"/>
          <w:szCs w:val="22"/>
          <w:lang w:eastAsia="en-US"/>
        </w:rPr>
        <w:t xml:space="preserve"> prevedono tale caratteristica;</w:t>
      </w:r>
    </w:p>
    <w:p w:rsidR="00322620" w:rsidRPr="00322620"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proofErr w:type="gramStart"/>
      <w:r w:rsidRPr="00322620">
        <w:rPr>
          <w:rFonts w:eastAsiaTheme="minorHAnsi"/>
          <w:bCs/>
          <w:color w:val="141414"/>
          <w:sz w:val="22"/>
          <w:szCs w:val="22"/>
          <w:lang w:eastAsia="en-US"/>
        </w:rPr>
        <w:t>dispositivo</w:t>
      </w:r>
      <w:proofErr w:type="gramEnd"/>
      <w:r w:rsidRPr="00322620">
        <w:rPr>
          <w:rFonts w:eastAsiaTheme="minorHAnsi"/>
          <w:bCs/>
          <w:color w:val="141414"/>
          <w:sz w:val="22"/>
          <w:szCs w:val="22"/>
          <w:lang w:eastAsia="en-US"/>
        </w:rPr>
        <w:t xml:space="preserve"> per l’inserzione automatica di filtri sul fascio primario dei raggi X; saranno escluse dalla gara le offerte che non prevedono tale caratteristica; </w:t>
      </w:r>
    </w:p>
    <w:p w:rsidR="00322620" w:rsidRPr="00322620"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proofErr w:type="gramStart"/>
      <w:r w:rsidRPr="00322620">
        <w:rPr>
          <w:rFonts w:eastAsiaTheme="minorHAnsi"/>
          <w:bCs/>
          <w:color w:val="141414"/>
          <w:sz w:val="22"/>
          <w:szCs w:val="22"/>
          <w:lang w:eastAsia="en-US"/>
        </w:rPr>
        <w:t>dispositivo</w:t>
      </w:r>
      <w:proofErr w:type="gramEnd"/>
      <w:r w:rsidRPr="00322620">
        <w:rPr>
          <w:rFonts w:eastAsiaTheme="minorHAnsi"/>
          <w:bCs/>
          <w:color w:val="141414"/>
          <w:sz w:val="22"/>
          <w:szCs w:val="22"/>
          <w:lang w:eastAsia="en-US"/>
        </w:rPr>
        <w:t xml:space="preserve"> per l’inserzione di collimatori per l’ottimizzazione della risoluzione sull’intero intervallo spettrale</w:t>
      </w:r>
      <w:r w:rsidR="00FC23D3" w:rsidRPr="00FC23D3">
        <w:rPr>
          <w:rFonts w:eastAsiaTheme="minorHAnsi"/>
          <w:bCs/>
          <w:color w:val="141414"/>
          <w:sz w:val="22"/>
          <w:szCs w:val="22"/>
          <w:lang w:eastAsia="en-US"/>
        </w:rPr>
        <w:t xml:space="preserve"> </w:t>
      </w:r>
      <w:r w:rsidR="00FC23D3">
        <w:rPr>
          <w:rFonts w:eastAsiaTheme="minorHAnsi"/>
          <w:bCs/>
          <w:color w:val="141414"/>
          <w:sz w:val="22"/>
          <w:szCs w:val="22"/>
          <w:lang w:eastAsia="en-US"/>
        </w:rPr>
        <w:t>e fornitura dei relativi collimatori</w:t>
      </w:r>
      <w:r w:rsidRPr="00322620">
        <w:rPr>
          <w:rFonts w:eastAsiaTheme="minorHAnsi"/>
          <w:bCs/>
          <w:color w:val="141414"/>
          <w:sz w:val="22"/>
          <w:szCs w:val="22"/>
          <w:lang w:eastAsia="en-US"/>
        </w:rPr>
        <w:t xml:space="preserve">; saranno escluse dalla gara le offerte che non prevedono tale caratteristica; </w:t>
      </w:r>
    </w:p>
    <w:p w:rsidR="00322620" w:rsidRPr="00322620" w:rsidRDefault="00D90FBC" w:rsidP="00BB0BD9">
      <w:pPr>
        <w:pStyle w:val="Paragrafoelenco"/>
        <w:numPr>
          <w:ilvl w:val="0"/>
          <w:numId w:val="4"/>
        </w:numPr>
        <w:autoSpaceDE w:val="0"/>
        <w:autoSpaceDN w:val="0"/>
        <w:adjustRightInd w:val="0"/>
        <w:jc w:val="both"/>
        <w:rPr>
          <w:rFonts w:eastAsiaTheme="minorHAnsi"/>
          <w:bCs/>
          <w:color w:val="141414"/>
          <w:sz w:val="22"/>
          <w:szCs w:val="22"/>
          <w:lang w:eastAsia="en-US"/>
        </w:rPr>
      </w:pPr>
      <w:proofErr w:type="gramStart"/>
      <w:r>
        <w:rPr>
          <w:rFonts w:eastAsiaTheme="minorHAnsi"/>
          <w:bCs/>
          <w:color w:val="141414"/>
          <w:sz w:val="22"/>
          <w:szCs w:val="22"/>
          <w:lang w:eastAsia="en-US"/>
        </w:rPr>
        <w:t>rivelatori</w:t>
      </w:r>
      <w:proofErr w:type="gramEnd"/>
      <w:r>
        <w:rPr>
          <w:rFonts w:eastAsiaTheme="minorHAnsi"/>
          <w:bCs/>
          <w:color w:val="141414"/>
          <w:sz w:val="22"/>
          <w:szCs w:val="22"/>
          <w:lang w:eastAsia="en-US"/>
        </w:rPr>
        <w:t>: uno con sistema di conteggio a</w:t>
      </w:r>
      <w:r w:rsidR="00604102" w:rsidRPr="00322620">
        <w:rPr>
          <w:rFonts w:eastAsiaTheme="minorHAnsi"/>
          <w:bCs/>
          <w:color w:val="141414"/>
          <w:sz w:val="22"/>
          <w:szCs w:val="22"/>
          <w:lang w:eastAsia="en-US"/>
        </w:rPr>
        <w:t xml:space="preserve"> scintillazione </w:t>
      </w:r>
      <w:r>
        <w:rPr>
          <w:rFonts w:eastAsiaTheme="minorHAnsi"/>
          <w:bCs/>
          <w:color w:val="141414"/>
          <w:sz w:val="22"/>
          <w:szCs w:val="22"/>
          <w:lang w:eastAsia="en-US"/>
        </w:rPr>
        <w:t xml:space="preserve">(SC) </w:t>
      </w:r>
      <w:r w:rsidR="00604102" w:rsidRPr="00322620">
        <w:rPr>
          <w:rFonts w:eastAsiaTheme="minorHAnsi"/>
          <w:bCs/>
          <w:color w:val="141414"/>
          <w:sz w:val="22"/>
          <w:szCs w:val="22"/>
          <w:lang w:eastAsia="en-US"/>
        </w:rPr>
        <w:t>e</w:t>
      </w:r>
      <w:r>
        <w:rPr>
          <w:rFonts w:eastAsiaTheme="minorHAnsi"/>
          <w:bCs/>
          <w:color w:val="141414"/>
          <w:sz w:val="22"/>
          <w:szCs w:val="22"/>
          <w:lang w:eastAsia="en-US"/>
        </w:rPr>
        <w:t>d uno</w:t>
      </w:r>
      <w:r w:rsidR="00604102" w:rsidRPr="00322620">
        <w:rPr>
          <w:rFonts w:eastAsiaTheme="minorHAnsi"/>
          <w:bCs/>
          <w:color w:val="141414"/>
          <w:sz w:val="22"/>
          <w:szCs w:val="22"/>
          <w:lang w:eastAsia="en-US"/>
        </w:rPr>
        <w:t xml:space="preserve"> a flusso proporzionale</w:t>
      </w:r>
      <w:r>
        <w:rPr>
          <w:rFonts w:eastAsiaTheme="minorHAnsi"/>
          <w:bCs/>
          <w:color w:val="141414"/>
          <w:sz w:val="22"/>
          <w:szCs w:val="22"/>
          <w:lang w:eastAsia="en-US"/>
        </w:rPr>
        <w:t xml:space="preserve"> (FC)</w:t>
      </w:r>
      <w:r w:rsidR="00604102" w:rsidRPr="00322620">
        <w:rPr>
          <w:rFonts w:eastAsiaTheme="minorHAnsi"/>
          <w:bCs/>
          <w:color w:val="141414"/>
          <w:sz w:val="22"/>
          <w:szCs w:val="22"/>
          <w:lang w:eastAsia="en-US"/>
        </w:rPr>
        <w:t>; saranno escluse dalla gara le offerte che non</w:t>
      </w:r>
      <w:r w:rsidR="00322620" w:rsidRPr="00322620">
        <w:rPr>
          <w:rFonts w:eastAsiaTheme="minorHAnsi"/>
          <w:bCs/>
          <w:color w:val="141414"/>
          <w:sz w:val="22"/>
          <w:szCs w:val="22"/>
          <w:lang w:eastAsia="en-US"/>
        </w:rPr>
        <w:t xml:space="preserve"> prevedono tale caratteristica;</w:t>
      </w:r>
    </w:p>
    <w:p w:rsidR="00322620" w:rsidRPr="00322620"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proofErr w:type="gramStart"/>
      <w:r w:rsidRPr="00322620">
        <w:rPr>
          <w:rFonts w:eastAsiaTheme="minorHAnsi"/>
          <w:bCs/>
          <w:color w:val="141414"/>
          <w:sz w:val="22"/>
          <w:szCs w:val="22"/>
          <w:lang w:eastAsia="en-US"/>
        </w:rPr>
        <w:t>dispositivo</w:t>
      </w:r>
      <w:proofErr w:type="gramEnd"/>
      <w:r w:rsidRPr="00322620">
        <w:rPr>
          <w:rFonts w:eastAsiaTheme="minorHAnsi"/>
          <w:bCs/>
          <w:color w:val="141414"/>
          <w:sz w:val="22"/>
          <w:szCs w:val="22"/>
          <w:lang w:eastAsia="en-US"/>
        </w:rPr>
        <w:t xml:space="preserve"> automatico di posizionamento dei cristalli analizzatori </w:t>
      </w:r>
      <w:proofErr w:type="spellStart"/>
      <w:r w:rsidRPr="00322620">
        <w:rPr>
          <w:rFonts w:eastAsiaTheme="minorHAnsi"/>
          <w:bCs/>
          <w:color w:val="141414"/>
          <w:sz w:val="22"/>
          <w:szCs w:val="22"/>
          <w:lang w:eastAsia="en-US"/>
        </w:rPr>
        <w:t>preallineati</w:t>
      </w:r>
      <w:proofErr w:type="spellEnd"/>
      <w:r w:rsidRPr="00322620">
        <w:rPr>
          <w:rFonts w:eastAsiaTheme="minorHAnsi"/>
          <w:bCs/>
          <w:color w:val="141414"/>
          <w:sz w:val="22"/>
          <w:szCs w:val="22"/>
          <w:lang w:eastAsia="en-US"/>
        </w:rPr>
        <w:t xml:space="preserve">: la fornitura deve comprendere almeno </w:t>
      </w:r>
      <w:r w:rsidR="00A3548E">
        <w:rPr>
          <w:rFonts w:eastAsiaTheme="minorHAnsi"/>
          <w:bCs/>
          <w:color w:val="141414"/>
          <w:sz w:val="22"/>
          <w:szCs w:val="22"/>
          <w:lang w:eastAsia="en-US"/>
        </w:rPr>
        <w:t>3</w:t>
      </w:r>
      <w:r w:rsidRPr="00322620">
        <w:rPr>
          <w:rFonts w:eastAsiaTheme="minorHAnsi"/>
          <w:bCs/>
          <w:color w:val="141414"/>
          <w:sz w:val="22"/>
          <w:szCs w:val="22"/>
          <w:lang w:eastAsia="en-US"/>
        </w:rPr>
        <w:t xml:space="preserve"> cristalli analizzatori per gli elementi da C ad U; saranno escluse dalla gara le offerte che non preve</w:t>
      </w:r>
      <w:r w:rsidR="0064498C">
        <w:rPr>
          <w:rFonts w:eastAsiaTheme="minorHAnsi"/>
          <w:bCs/>
          <w:color w:val="141414"/>
          <w:sz w:val="22"/>
          <w:szCs w:val="22"/>
          <w:lang w:eastAsia="en-US"/>
        </w:rPr>
        <w:t xml:space="preserve">dono tale caratteristica; sarà </w:t>
      </w:r>
      <w:r w:rsidRPr="00322620">
        <w:rPr>
          <w:rFonts w:eastAsiaTheme="minorHAnsi"/>
          <w:bCs/>
          <w:color w:val="141414"/>
          <w:sz w:val="22"/>
          <w:szCs w:val="22"/>
          <w:lang w:eastAsia="en-US"/>
        </w:rPr>
        <w:t xml:space="preserve">oggetto di valutazione la strumentazione per la quale è possibile avere  fornito/venduto dal produttore il numero maggiore di cristalli analizzatori, alla </w:t>
      </w:r>
      <w:r w:rsidR="00322620" w:rsidRPr="00322620">
        <w:rPr>
          <w:rFonts w:eastAsiaTheme="minorHAnsi"/>
          <w:bCs/>
          <w:color w:val="141414"/>
          <w:sz w:val="22"/>
          <w:szCs w:val="22"/>
          <w:lang w:eastAsia="en-US"/>
        </w:rPr>
        <w:t>data di espletamento della Gara;</w:t>
      </w:r>
    </w:p>
    <w:p w:rsidR="00322620" w:rsidRPr="00322620"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22620">
        <w:rPr>
          <w:rFonts w:eastAsiaTheme="minorHAnsi"/>
          <w:bCs/>
          <w:color w:val="141414"/>
          <w:sz w:val="22"/>
          <w:szCs w:val="22"/>
          <w:lang w:eastAsia="en-US"/>
        </w:rPr>
        <w:lastRenderedPageBreak/>
        <w:t>Area di attesa analisi per non meno di 40 portacampioni; saranno escluse dalla gara le offerte che non preve</w:t>
      </w:r>
      <w:r w:rsidR="00FC23D3">
        <w:rPr>
          <w:rFonts w:eastAsiaTheme="minorHAnsi"/>
          <w:bCs/>
          <w:color w:val="141414"/>
          <w:sz w:val="22"/>
          <w:szCs w:val="22"/>
          <w:lang w:eastAsia="en-US"/>
        </w:rPr>
        <w:t xml:space="preserve">dono tale caratteristica; sarà oggetto di valutazione la </w:t>
      </w:r>
      <w:r w:rsidRPr="00322620">
        <w:rPr>
          <w:rFonts w:eastAsiaTheme="minorHAnsi"/>
          <w:bCs/>
          <w:color w:val="141414"/>
          <w:sz w:val="22"/>
          <w:szCs w:val="22"/>
          <w:lang w:eastAsia="en-US"/>
        </w:rPr>
        <w:t xml:space="preserve">fornitura che prevede l’area di attesa con il maggiore numero di postazioni di </w:t>
      </w:r>
      <w:r w:rsidR="00322620" w:rsidRPr="00322620">
        <w:rPr>
          <w:rFonts w:eastAsiaTheme="minorHAnsi"/>
          <w:bCs/>
          <w:color w:val="141414"/>
          <w:sz w:val="22"/>
          <w:szCs w:val="22"/>
          <w:lang w:eastAsia="en-US"/>
        </w:rPr>
        <w:t>alloggiamento dei portacampioni;</w:t>
      </w:r>
    </w:p>
    <w:p w:rsidR="00322620" w:rsidRPr="00322620" w:rsidRDefault="00322620"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22620">
        <w:rPr>
          <w:rFonts w:eastAsiaTheme="minorHAnsi"/>
          <w:bCs/>
          <w:color w:val="141414"/>
          <w:sz w:val="22"/>
          <w:szCs w:val="22"/>
          <w:lang w:eastAsia="en-US"/>
        </w:rPr>
        <w:t>S</w:t>
      </w:r>
      <w:r w:rsidR="00604102" w:rsidRPr="00322620">
        <w:rPr>
          <w:rFonts w:eastAsiaTheme="minorHAnsi"/>
          <w:bCs/>
          <w:color w:val="141414"/>
          <w:sz w:val="22"/>
          <w:szCs w:val="22"/>
          <w:lang w:eastAsia="en-US"/>
        </w:rPr>
        <w:t>istema di protezione dalle contaminazioni durante il cambio dei campioni; saranno escluse dalla gara le offerte che non</w:t>
      </w:r>
      <w:r w:rsidRPr="00322620">
        <w:rPr>
          <w:rFonts w:eastAsiaTheme="minorHAnsi"/>
          <w:bCs/>
          <w:color w:val="141414"/>
          <w:sz w:val="22"/>
          <w:szCs w:val="22"/>
          <w:lang w:eastAsia="en-US"/>
        </w:rPr>
        <w:t xml:space="preserve"> prevedono tale caratteristica;</w:t>
      </w:r>
    </w:p>
    <w:p w:rsidR="00604102" w:rsidRPr="00322620" w:rsidRDefault="00322620"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22620">
        <w:rPr>
          <w:rFonts w:eastAsiaTheme="minorHAnsi"/>
          <w:bCs/>
          <w:color w:val="141414"/>
          <w:sz w:val="22"/>
          <w:szCs w:val="22"/>
          <w:lang w:eastAsia="en-US"/>
        </w:rPr>
        <w:t>D</w:t>
      </w:r>
      <w:r w:rsidR="00604102" w:rsidRPr="00322620">
        <w:rPr>
          <w:rFonts w:eastAsiaTheme="minorHAnsi"/>
          <w:bCs/>
          <w:color w:val="141414"/>
          <w:sz w:val="22"/>
          <w:szCs w:val="22"/>
          <w:lang w:eastAsia="en-US"/>
        </w:rPr>
        <w:t>ispositivo per misure in gas inerte di elio a differenti condizioni di pressione; saranno escluse dalla gara le offerte che non</w:t>
      </w:r>
      <w:r w:rsidRPr="00322620">
        <w:rPr>
          <w:rFonts w:eastAsiaTheme="minorHAnsi"/>
          <w:bCs/>
          <w:color w:val="141414"/>
          <w:sz w:val="22"/>
          <w:szCs w:val="22"/>
          <w:lang w:eastAsia="en-US"/>
        </w:rPr>
        <w:t xml:space="preserve"> prevedono tale caratteristica;</w:t>
      </w:r>
    </w:p>
    <w:p w:rsidR="00604102" w:rsidRPr="00322620" w:rsidRDefault="00322620"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322620">
        <w:rPr>
          <w:rFonts w:eastAsiaTheme="minorHAnsi"/>
          <w:bCs/>
          <w:color w:val="141414"/>
          <w:sz w:val="22"/>
          <w:szCs w:val="22"/>
          <w:lang w:eastAsia="en-US"/>
        </w:rPr>
        <w:t>S</w:t>
      </w:r>
      <w:r w:rsidR="00604102" w:rsidRPr="00322620">
        <w:rPr>
          <w:rFonts w:eastAsiaTheme="minorHAnsi"/>
          <w:bCs/>
          <w:color w:val="141414"/>
          <w:sz w:val="22"/>
          <w:szCs w:val="22"/>
          <w:lang w:eastAsia="en-US"/>
        </w:rPr>
        <w:t>oftware di calibrazione, valutazione e tabulazione per l’analisi multi elementare qualitativa, quantitativa e senza standard, per pastiglie, perle e liquidi; saranno escluse dalla gara le offerte che non prevedono ta</w:t>
      </w:r>
      <w:r w:rsidRPr="00322620">
        <w:rPr>
          <w:rFonts w:eastAsiaTheme="minorHAnsi"/>
          <w:bCs/>
          <w:color w:val="141414"/>
          <w:sz w:val="22"/>
          <w:szCs w:val="22"/>
          <w:lang w:eastAsia="en-US"/>
        </w:rPr>
        <w:t>le caratteristica;</w:t>
      </w:r>
    </w:p>
    <w:p w:rsidR="00322620" w:rsidRPr="00604102" w:rsidRDefault="00322620" w:rsidP="00322620">
      <w:pPr>
        <w:pStyle w:val="Paragrafoelenco"/>
        <w:autoSpaceDE w:val="0"/>
        <w:autoSpaceDN w:val="0"/>
        <w:adjustRightInd w:val="0"/>
        <w:jc w:val="both"/>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Caratteristiche tecniche specifiche non obbligatorie:</w:t>
      </w:r>
    </w:p>
    <w:p w:rsidR="00604102" w:rsidRPr="00604102" w:rsidRDefault="00604102" w:rsidP="00604102">
      <w:pPr>
        <w:autoSpaceDE w:val="0"/>
        <w:autoSpaceDN w:val="0"/>
        <w:adjustRightInd w:val="0"/>
        <w:rPr>
          <w:rFonts w:eastAsiaTheme="minorHAnsi"/>
          <w:b/>
          <w:bCs/>
          <w:color w:val="141414"/>
          <w:sz w:val="22"/>
          <w:szCs w:val="22"/>
          <w:lang w:eastAsia="en-US"/>
        </w:rPr>
      </w:pPr>
    </w:p>
    <w:p w:rsidR="00D01762" w:rsidRPr="00996DDF" w:rsidRDefault="00D01762" w:rsidP="00BB0BD9">
      <w:pPr>
        <w:pStyle w:val="Paragrafoelenco"/>
        <w:numPr>
          <w:ilvl w:val="0"/>
          <w:numId w:val="4"/>
        </w:numPr>
        <w:autoSpaceDE w:val="0"/>
        <w:autoSpaceDN w:val="0"/>
        <w:adjustRightInd w:val="0"/>
        <w:jc w:val="both"/>
        <w:rPr>
          <w:rFonts w:eastAsiaTheme="minorHAnsi"/>
          <w:bCs/>
          <w:sz w:val="22"/>
          <w:szCs w:val="22"/>
          <w:lang w:eastAsia="en-US"/>
        </w:rPr>
      </w:pPr>
      <w:r w:rsidRPr="00996DDF">
        <w:rPr>
          <w:rFonts w:eastAsiaTheme="minorHAnsi"/>
          <w:bCs/>
          <w:sz w:val="22"/>
          <w:szCs w:val="22"/>
          <w:lang w:eastAsia="en-US"/>
        </w:rPr>
        <w:t xml:space="preserve">Fornitura, tra i cristalli analizzatori di cui al punto </w:t>
      </w:r>
      <w:r w:rsidR="0006190B" w:rsidRPr="00996DDF">
        <w:rPr>
          <w:rFonts w:eastAsiaTheme="minorHAnsi"/>
          <w:bCs/>
          <w:sz w:val="22"/>
          <w:szCs w:val="22"/>
          <w:lang w:eastAsia="en-US"/>
        </w:rPr>
        <w:t>O</w:t>
      </w:r>
      <w:r w:rsidRPr="00996DDF">
        <w:rPr>
          <w:rFonts w:eastAsiaTheme="minorHAnsi"/>
          <w:bCs/>
          <w:sz w:val="22"/>
          <w:szCs w:val="22"/>
          <w:lang w:eastAsia="en-US"/>
        </w:rPr>
        <w:t xml:space="preserve"> che precede, di </w:t>
      </w:r>
      <w:r w:rsidR="00604102" w:rsidRPr="00996DDF">
        <w:rPr>
          <w:rFonts w:eastAsiaTheme="minorHAnsi"/>
          <w:bCs/>
          <w:sz w:val="22"/>
          <w:szCs w:val="22"/>
          <w:lang w:eastAsia="en-US"/>
        </w:rPr>
        <w:t>1 cristallo analizzatore ottimizzato per l’elemento carbonio; la previsione nell’offerta tecnica di tale caratteristica comporte</w:t>
      </w:r>
      <w:r w:rsidR="00996DDF">
        <w:rPr>
          <w:rFonts w:eastAsiaTheme="minorHAnsi"/>
          <w:bCs/>
          <w:sz w:val="22"/>
          <w:szCs w:val="22"/>
          <w:lang w:eastAsia="en-US"/>
        </w:rPr>
        <w:t>rà l’attribuzione di punteggio</w:t>
      </w:r>
      <w:r w:rsidRPr="00996DDF">
        <w:rPr>
          <w:rFonts w:eastAsiaTheme="minorHAnsi"/>
          <w:bCs/>
          <w:sz w:val="22"/>
          <w:szCs w:val="22"/>
          <w:lang w:eastAsia="en-US"/>
        </w:rPr>
        <w:t>;</w:t>
      </w:r>
    </w:p>
    <w:p w:rsidR="00604102" w:rsidRPr="00D01762" w:rsidRDefault="00D01762"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D01762">
        <w:rPr>
          <w:rFonts w:eastAsiaTheme="minorHAnsi"/>
          <w:bCs/>
          <w:color w:val="141414"/>
          <w:sz w:val="22"/>
          <w:szCs w:val="22"/>
          <w:lang w:eastAsia="en-US"/>
        </w:rPr>
        <w:t xml:space="preserve">Implementazione strumentazione con moduli aggiuntivi </w:t>
      </w:r>
      <w:proofErr w:type="spellStart"/>
      <w:r w:rsidRPr="00D01762">
        <w:rPr>
          <w:rFonts w:eastAsiaTheme="minorHAnsi"/>
          <w:bCs/>
          <w:color w:val="141414"/>
          <w:sz w:val="22"/>
          <w:szCs w:val="22"/>
          <w:lang w:eastAsia="en-US"/>
        </w:rPr>
        <w:t>mapping</w:t>
      </w:r>
      <w:proofErr w:type="spellEnd"/>
      <w:r w:rsidRPr="00D01762">
        <w:rPr>
          <w:rFonts w:eastAsiaTheme="minorHAnsi"/>
          <w:bCs/>
          <w:color w:val="141414"/>
          <w:sz w:val="22"/>
          <w:szCs w:val="22"/>
          <w:lang w:eastAsia="en-US"/>
        </w:rPr>
        <w:t xml:space="preserve"> e micro-</w:t>
      </w:r>
      <w:r w:rsidR="00604102" w:rsidRPr="00D01762">
        <w:rPr>
          <w:rFonts w:eastAsiaTheme="minorHAnsi"/>
          <w:bCs/>
          <w:color w:val="141414"/>
          <w:sz w:val="22"/>
          <w:szCs w:val="22"/>
          <w:lang w:eastAsia="en-US"/>
        </w:rPr>
        <w:t>XRF: sarà oggetto di valutazione le strumentazioni che prevedranno la implementazione con moduli aggiuntivi per m</w:t>
      </w:r>
      <w:r w:rsidR="008A304C">
        <w:rPr>
          <w:rFonts w:eastAsiaTheme="minorHAnsi"/>
          <w:bCs/>
          <w:color w:val="141414"/>
          <w:sz w:val="22"/>
          <w:szCs w:val="22"/>
          <w:lang w:eastAsia="en-US"/>
        </w:rPr>
        <w:t xml:space="preserve">isure di </w:t>
      </w:r>
      <w:proofErr w:type="spellStart"/>
      <w:r w:rsidR="008A304C">
        <w:rPr>
          <w:rFonts w:eastAsiaTheme="minorHAnsi"/>
          <w:bCs/>
          <w:color w:val="141414"/>
          <w:sz w:val="22"/>
          <w:szCs w:val="22"/>
          <w:lang w:eastAsia="en-US"/>
        </w:rPr>
        <w:t>mapping</w:t>
      </w:r>
      <w:proofErr w:type="spellEnd"/>
      <w:r w:rsidR="008A304C">
        <w:rPr>
          <w:rFonts w:eastAsiaTheme="minorHAnsi"/>
          <w:bCs/>
          <w:color w:val="141414"/>
          <w:sz w:val="22"/>
          <w:szCs w:val="22"/>
          <w:lang w:eastAsia="en-US"/>
        </w:rPr>
        <w:t xml:space="preserve"> e di micro-XRF</w:t>
      </w:r>
      <w:r w:rsidR="00604102" w:rsidRPr="00D01762">
        <w:rPr>
          <w:rFonts w:eastAsiaTheme="minorHAnsi"/>
          <w:bCs/>
          <w:color w:val="141414"/>
          <w:sz w:val="22"/>
          <w:szCs w:val="22"/>
          <w:lang w:eastAsia="en-US"/>
        </w:rPr>
        <w:t>; la previsione nell’offerta tecnica di tale caratteristica comporterà l’attribuzione di punteggio</w:t>
      </w:r>
      <w:r w:rsidR="00996DDF">
        <w:rPr>
          <w:rFonts w:eastAsiaTheme="minorHAnsi"/>
          <w:bCs/>
          <w:color w:val="141414"/>
          <w:sz w:val="22"/>
          <w:szCs w:val="22"/>
          <w:lang w:eastAsia="en-US"/>
        </w:rPr>
        <w:t>;</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D01762" w:rsidRDefault="00D01762" w:rsidP="00604102">
      <w:pPr>
        <w:autoSpaceDE w:val="0"/>
        <w:autoSpaceDN w:val="0"/>
        <w:adjustRightInd w:val="0"/>
        <w:rPr>
          <w:rFonts w:eastAsiaTheme="minorHAnsi"/>
          <w:b/>
          <w:bCs/>
          <w:i/>
          <w:color w:val="141414"/>
          <w:sz w:val="22"/>
          <w:szCs w:val="22"/>
          <w:u w:val="single"/>
          <w:lang w:eastAsia="en-US"/>
        </w:rPr>
      </w:pPr>
      <w:r>
        <w:rPr>
          <w:rFonts w:eastAsiaTheme="minorHAnsi"/>
          <w:b/>
          <w:bCs/>
          <w:i/>
          <w:color w:val="141414"/>
          <w:sz w:val="22"/>
          <w:szCs w:val="22"/>
          <w:u w:val="single"/>
          <w:lang w:eastAsia="en-US"/>
        </w:rPr>
        <w:t xml:space="preserve">1.3 </w:t>
      </w:r>
      <w:r w:rsidR="00604102" w:rsidRPr="00D01762">
        <w:rPr>
          <w:rFonts w:eastAsiaTheme="minorHAnsi"/>
          <w:b/>
          <w:bCs/>
          <w:i/>
          <w:color w:val="141414"/>
          <w:sz w:val="22"/>
          <w:szCs w:val="22"/>
          <w:u w:val="single"/>
          <w:lang w:eastAsia="en-US"/>
        </w:rPr>
        <w:t>A</w:t>
      </w:r>
      <w:r w:rsidRPr="00D01762">
        <w:rPr>
          <w:rFonts w:eastAsiaTheme="minorHAnsi"/>
          <w:b/>
          <w:bCs/>
          <w:i/>
          <w:color w:val="141414"/>
          <w:sz w:val="22"/>
          <w:szCs w:val="22"/>
          <w:u w:val="single"/>
          <w:lang w:eastAsia="en-US"/>
        </w:rPr>
        <w:t>ccessori</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p>
    <w:p w:rsidR="00D01762" w:rsidRPr="00D01762" w:rsidRDefault="00D01762" w:rsidP="00BB0BD9">
      <w:pPr>
        <w:pStyle w:val="Paragrafoelenco"/>
        <w:numPr>
          <w:ilvl w:val="0"/>
          <w:numId w:val="4"/>
        </w:numPr>
        <w:autoSpaceDE w:val="0"/>
        <w:autoSpaceDN w:val="0"/>
        <w:adjustRightInd w:val="0"/>
        <w:jc w:val="both"/>
        <w:rPr>
          <w:rFonts w:eastAsiaTheme="minorHAnsi"/>
          <w:b/>
          <w:bCs/>
          <w:color w:val="141414"/>
          <w:sz w:val="22"/>
          <w:szCs w:val="22"/>
          <w:lang w:eastAsia="en-US"/>
        </w:rPr>
      </w:pPr>
      <w:r w:rsidRPr="00D01762">
        <w:rPr>
          <w:rFonts w:eastAsiaTheme="minorHAnsi"/>
          <w:bCs/>
          <w:color w:val="141414"/>
          <w:sz w:val="22"/>
          <w:szCs w:val="22"/>
          <w:lang w:eastAsia="en-US"/>
        </w:rPr>
        <w:t>C</w:t>
      </w:r>
      <w:r w:rsidR="00604102" w:rsidRPr="00D01762">
        <w:rPr>
          <w:rFonts w:eastAsiaTheme="minorHAnsi"/>
          <w:bCs/>
          <w:color w:val="141414"/>
          <w:sz w:val="22"/>
          <w:szCs w:val="22"/>
          <w:lang w:eastAsia="en-US"/>
        </w:rPr>
        <w:t>ristallo analizzatore ottimizzato per elementi leggeri dall'ossigeno al magnesio saranno escluse dalla gara le offerte che non prevedono tale dotazione; saranno escluse dalla gara le offerte che non prevedono tale dotazione;</w:t>
      </w:r>
    </w:p>
    <w:p w:rsidR="00604102" w:rsidRPr="00D01762" w:rsidRDefault="00D01762"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D01762">
        <w:rPr>
          <w:rFonts w:eastAsiaTheme="minorHAnsi"/>
          <w:bCs/>
          <w:color w:val="141414"/>
          <w:sz w:val="22"/>
          <w:szCs w:val="22"/>
          <w:lang w:eastAsia="en-US"/>
        </w:rPr>
        <w:t>F</w:t>
      </w:r>
      <w:r w:rsidR="00604102" w:rsidRPr="00D01762">
        <w:rPr>
          <w:rFonts w:eastAsiaTheme="minorHAnsi"/>
          <w:bCs/>
          <w:color w:val="141414"/>
          <w:sz w:val="22"/>
          <w:szCs w:val="22"/>
          <w:lang w:eastAsia="en-US"/>
        </w:rPr>
        <w:t xml:space="preserve">iltri sorgente primaria; saranno escluse dalla gara le offerte che non prevedono tale caratteristica. </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D01762" w:rsidRDefault="00B25213" w:rsidP="00604102">
      <w:pPr>
        <w:autoSpaceDE w:val="0"/>
        <w:autoSpaceDN w:val="0"/>
        <w:adjustRightInd w:val="0"/>
        <w:rPr>
          <w:rFonts w:eastAsiaTheme="minorHAnsi"/>
          <w:b/>
          <w:bCs/>
          <w:i/>
          <w:color w:val="141414"/>
          <w:sz w:val="22"/>
          <w:szCs w:val="22"/>
          <w:u w:val="single"/>
          <w:lang w:eastAsia="en-US"/>
        </w:rPr>
      </w:pPr>
      <w:r>
        <w:rPr>
          <w:rFonts w:eastAsiaTheme="minorHAnsi"/>
          <w:b/>
          <w:bCs/>
          <w:i/>
          <w:color w:val="141414"/>
          <w:sz w:val="22"/>
          <w:szCs w:val="22"/>
          <w:u w:val="single"/>
          <w:lang w:eastAsia="en-US"/>
        </w:rPr>
        <w:t xml:space="preserve">1.4 </w:t>
      </w:r>
      <w:r w:rsidR="00D01762">
        <w:rPr>
          <w:rFonts w:eastAsiaTheme="minorHAnsi"/>
          <w:b/>
          <w:bCs/>
          <w:i/>
          <w:color w:val="141414"/>
          <w:sz w:val="22"/>
          <w:szCs w:val="22"/>
          <w:u w:val="single"/>
          <w:lang w:eastAsia="en-US"/>
        </w:rPr>
        <w:t>G</w:t>
      </w:r>
      <w:r w:rsidR="00D01762" w:rsidRPr="00D01762">
        <w:rPr>
          <w:rFonts w:eastAsiaTheme="minorHAnsi"/>
          <w:b/>
          <w:bCs/>
          <w:i/>
          <w:color w:val="141414"/>
          <w:sz w:val="22"/>
          <w:szCs w:val="22"/>
          <w:u w:val="single"/>
          <w:lang w:eastAsia="en-US"/>
        </w:rPr>
        <w:t>aranzia, assistenza e manutenzione full-</w:t>
      </w:r>
      <w:proofErr w:type="spellStart"/>
      <w:r w:rsidR="00D01762" w:rsidRPr="00D01762">
        <w:rPr>
          <w:rFonts w:eastAsiaTheme="minorHAnsi"/>
          <w:b/>
          <w:bCs/>
          <w:i/>
          <w:color w:val="141414"/>
          <w:sz w:val="22"/>
          <w:szCs w:val="22"/>
          <w:u w:val="single"/>
          <w:lang w:eastAsia="en-US"/>
        </w:rPr>
        <w:t>risk</w:t>
      </w:r>
      <w:proofErr w:type="spellEnd"/>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AB512A" w:rsidRDefault="00604102" w:rsidP="00AB512A">
      <w:pPr>
        <w:autoSpaceDE w:val="0"/>
        <w:autoSpaceDN w:val="0"/>
        <w:adjustRightInd w:val="0"/>
        <w:jc w:val="both"/>
        <w:rPr>
          <w:rFonts w:eastAsiaTheme="minorHAnsi"/>
          <w:bCs/>
          <w:color w:val="141414"/>
          <w:sz w:val="22"/>
          <w:szCs w:val="22"/>
          <w:lang w:eastAsia="en-US"/>
        </w:rPr>
      </w:pPr>
    </w:p>
    <w:p w:rsidR="00AB512A"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GARANZIA: La strumentazione e gli accessori di cui ai commi precedenti dovranno obbligatoriamente essere garantiti, per un periodo non inferiore a 2 (due) anni decorrenti dalla data di emissione del Certificato di Collaudo, secondo le condizioni e la modalità garanzia Full-</w:t>
      </w:r>
      <w:proofErr w:type="spellStart"/>
      <w:r w:rsidRPr="00AB512A">
        <w:rPr>
          <w:rFonts w:eastAsiaTheme="minorHAnsi"/>
          <w:bCs/>
          <w:color w:val="141414"/>
          <w:sz w:val="22"/>
          <w:szCs w:val="22"/>
          <w:lang w:eastAsia="en-US"/>
        </w:rPr>
        <w:t>Risk</w:t>
      </w:r>
      <w:proofErr w:type="spellEnd"/>
      <w:r w:rsidRPr="00AB512A">
        <w:rPr>
          <w:rFonts w:eastAsiaTheme="minorHAnsi"/>
          <w:bCs/>
          <w:color w:val="141414"/>
          <w:sz w:val="22"/>
          <w:szCs w:val="22"/>
          <w:lang w:eastAsia="en-US"/>
        </w:rPr>
        <w:t>. Saranno escluse dalla gara le offerte che non prevedono garanzia conforme ai termini, alle condizioni ed alle modalità di cui sopra;</w:t>
      </w:r>
    </w:p>
    <w:p w:rsidR="00AB512A" w:rsidRPr="00AB512A" w:rsidRDefault="00604102" w:rsidP="00BB0BD9">
      <w:pPr>
        <w:pStyle w:val="Paragrafoelenco"/>
        <w:numPr>
          <w:ilvl w:val="0"/>
          <w:numId w:val="4"/>
        </w:numPr>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SERVIZIO DI ASSISTENZA E MANUTENZIONE: La Società aggiudicataria avrà l’obbligo di erogare il servizio di Assistenza e manutenzione Full-</w:t>
      </w:r>
      <w:proofErr w:type="spellStart"/>
      <w:r w:rsidRPr="00AB512A">
        <w:rPr>
          <w:rFonts w:eastAsiaTheme="minorHAnsi"/>
          <w:bCs/>
          <w:color w:val="141414"/>
          <w:sz w:val="22"/>
          <w:szCs w:val="22"/>
          <w:lang w:eastAsia="en-US"/>
        </w:rPr>
        <w:t>Risk</w:t>
      </w:r>
      <w:proofErr w:type="spellEnd"/>
      <w:r w:rsidRPr="00AB512A">
        <w:rPr>
          <w:rFonts w:eastAsiaTheme="minorHAnsi"/>
          <w:bCs/>
          <w:color w:val="141414"/>
          <w:sz w:val="22"/>
          <w:szCs w:val="22"/>
          <w:lang w:eastAsia="en-US"/>
        </w:rPr>
        <w:t xml:space="preserve"> sullo strumento consegnato, su tutti i dispositivi e i componenti del medesimo e sugli accessori, per i primi 2 (due) anni decorrenti dalla data di emissione del Certificato di Collaudo, secondo le condizioni e nei termini che seguono:</w:t>
      </w:r>
    </w:p>
    <w:p w:rsidR="00AB512A" w:rsidRPr="00AB512A" w:rsidRDefault="00AB512A" w:rsidP="00AB512A">
      <w:pPr>
        <w:pStyle w:val="Paragrafoelenco"/>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 xml:space="preserve">1. </w:t>
      </w:r>
      <w:r w:rsidR="00604102" w:rsidRPr="00AB512A">
        <w:rPr>
          <w:rFonts w:eastAsiaTheme="minorHAnsi"/>
          <w:bCs/>
          <w:color w:val="141414"/>
          <w:sz w:val="22"/>
          <w:szCs w:val="22"/>
          <w:lang w:eastAsia="en-US"/>
        </w:rPr>
        <w:t>Riparazione e eventuale sostituzione dello strumento in tutte le sue componenti con la sola esclusione dei materiali di consumo, i quali saranno a carico del CNR ITAE;</w:t>
      </w:r>
    </w:p>
    <w:p w:rsidR="00AB512A" w:rsidRPr="00AB512A" w:rsidRDefault="00AB512A" w:rsidP="00AB512A">
      <w:pPr>
        <w:pStyle w:val="Paragrafoelenco"/>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 xml:space="preserve">2. </w:t>
      </w:r>
      <w:r w:rsidR="00604102" w:rsidRPr="00AB512A">
        <w:rPr>
          <w:rFonts w:eastAsiaTheme="minorHAnsi"/>
          <w:bCs/>
          <w:color w:val="141414"/>
          <w:sz w:val="22"/>
          <w:szCs w:val="22"/>
          <w:lang w:eastAsia="en-US"/>
        </w:rPr>
        <w:t>Almeno un intervento di manutenzione ordinaria annuale di durata pari ad almeno due giorni (per un totale di ore 16), che comprenda calibrazione e taratura della sorgente e allineamento dei segnali/linee spettrali.</w:t>
      </w:r>
    </w:p>
    <w:p w:rsidR="00AB512A" w:rsidRPr="00AB512A" w:rsidRDefault="00604102" w:rsidP="00AB512A">
      <w:pPr>
        <w:pStyle w:val="Paragrafoelenco"/>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Il servizio di assistenza dovrà essere erogato da personale specializzato dell’aggiudicatario ed includerà la manutenzione preventiva, la manutenzione correttiva e la fornitura delle parti di ricambio.</w:t>
      </w:r>
    </w:p>
    <w:p w:rsidR="00AB512A" w:rsidRPr="00AB512A" w:rsidRDefault="00604102" w:rsidP="00AB512A">
      <w:pPr>
        <w:pStyle w:val="Paragrafoelenco"/>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Il servizio di assistenza e manutenzione full-</w:t>
      </w:r>
      <w:proofErr w:type="spellStart"/>
      <w:r w:rsidRPr="00AB512A">
        <w:rPr>
          <w:rFonts w:eastAsiaTheme="minorHAnsi"/>
          <w:bCs/>
          <w:color w:val="141414"/>
          <w:sz w:val="22"/>
          <w:szCs w:val="22"/>
          <w:lang w:eastAsia="en-US"/>
        </w:rPr>
        <w:t>risk</w:t>
      </w:r>
      <w:proofErr w:type="spellEnd"/>
      <w:r w:rsidRPr="00AB512A">
        <w:rPr>
          <w:rFonts w:eastAsiaTheme="minorHAnsi"/>
          <w:bCs/>
          <w:color w:val="141414"/>
          <w:sz w:val="22"/>
          <w:szCs w:val="22"/>
          <w:lang w:eastAsia="en-US"/>
        </w:rPr>
        <w:t xml:space="preserve"> sullo strumento consegnato e i sui suoi dispositivi e componenti, per i primi 24 (ventiquattro) mesi dalla data di emissione del Certificato di Collaudo, dovrà essere prestato alle condizioni e nei termini che seguono.</w:t>
      </w:r>
    </w:p>
    <w:p w:rsidR="00AB512A" w:rsidRPr="00AB512A" w:rsidRDefault="00604102" w:rsidP="00AB512A">
      <w:pPr>
        <w:pStyle w:val="Paragrafoelenco"/>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lastRenderedPageBreak/>
        <w:t>Sono comprese nel servizio la riparazione e l’eventuale sostituzione dello strumento in tutte le sue componenti con la sola esclusione dei materiali di consumo, a carico dell’Ente appaltante.</w:t>
      </w:r>
    </w:p>
    <w:p w:rsidR="00604102" w:rsidRPr="00AB512A" w:rsidRDefault="00604102" w:rsidP="00AB512A">
      <w:pPr>
        <w:pStyle w:val="Paragrafoelenco"/>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L'assistenza dovrà essere effettuata con personale specializzato dell’aggiudicatario e comprenderà:</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AB512A" w:rsidRDefault="00604102" w:rsidP="00AB512A">
      <w:pPr>
        <w:autoSpaceDE w:val="0"/>
        <w:autoSpaceDN w:val="0"/>
        <w:adjustRightInd w:val="0"/>
        <w:ind w:left="1134" w:hanging="425"/>
        <w:rPr>
          <w:rFonts w:eastAsiaTheme="minorHAnsi"/>
          <w:bCs/>
          <w:color w:val="141414"/>
          <w:sz w:val="22"/>
          <w:szCs w:val="22"/>
          <w:lang w:eastAsia="en-US"/>
        </w:rPr>
      </w:pPr>
      <w:r w:rsidRPr="00604102">
        <w:rPr>
          <w:rFonts w:eastAsiaTheme="minorHAnsi"/>
          <w:b/>
          <w:bCs/>
          <w:color w:val="141414"/>
          <w:sz w:val="22"/>
          <w:szCs w:val="22"/>
          <w:lang w:eastAsia="en-US"/>
        </w:rPr>
        <w:t>•</w:t>
      </w:r>
      <w:r w:rsidRPr="00604102">
        <w:rPr>
          <w:rFonts w:eastAsiaTheme="minorHAnsi"/>
          <w:b/>
          <w:bCs/>
          <w:color w:val="141414"/>
          <w:sz w:val="22"/>
          <w:szCs w:val="22"/>
          <w:lang w:eastAsia="en-US"/>
        </w:rPr>
        <w:tab/>
      </w:r>
      <w:r w:rsidRPr="00AB512A">
        <w:rPr>
          <w:rFonts w:eastAsiaTheme="minorHAnsi"/>
          <w:bCs/>
          <w:color w:val="141414"/>
          <w:sz w:val="22"/>
          <w:szCs w:val="22"/>
          <w:lang w:eastAsia="en-US"/>
        </w:rPr>
        <w:t>manutenzione preventiva/ordinaria;</w:t>
      </w:r>
    </w:p>
    <w:p w:rsidR="00604102" w:rsidRPr="00AB512A" w:rsidRDefault="00604102" w:rsidP="00AB512A">
      <w:pPr>
        <w:autoSpaceDE w:val="0"/>
        <w:autoSpaceDN w:val="0"/>
        <w:adjustRightInd w:val="0"/>
        <w:ind w:left="1134" w:hanging="425"/>
        <w:rPr>
          <w:rFonts w:eastAsiaTheme="minorHAnsi"/>
          <w:bCs/>
          <w:color w:val="141414"/>
          <w:sz w:val="22"/>
          <w:szCs w:val="22"/>
          <w:lang w:eastAsia="en-US"/>
        </w:rPr>
      </w:pPr>
      <w:r w:rsidRPr="00AB512A">
        <w:rPr>
          <w:rFonts w:eastAsiaTheme="minorHAnsi"/>
          <w:bCs/>
          <w:color w:val="141414"/>
          <w:sz w:val="22"/>
          <w:szCs w:val="22"/>
          <w:lang w:eastAsia="en-US"/>
        </w:rPr>
        <w:t>•</w:t>
      </w:r>
      <w:r w:rsidRPr="00AB512A">
        <w:rPr>
          <w:rFonts w:eastAsiaTheme="minorHAnsi"/>
          <w:bCs/>
          <w:color w:val="141414"/>
          <w:sz w:val="22"/>
          <w:szCs w:val="22"/>
          <w:lang w:eastAsia="en-US"/>
        </w:rPr>
        <w:tab/>
        <w:t>manutenzione correttiva/straordinaria;</w:t>
      </w:r>
    </w:p>
    <w:p w:rsidR="00604102" w:rsidRPr="00AB512A" w:rsidRDefault="00604102" w:rsidP="00AB512A">
      <w:pPr>
        <w:autoSpaceDE w:val="0"/>
        <w:autoSpaceDN w:val="0"/>
        <w:adjustRightInd w:val="0"/>
        <w:ind w:left="1134" w:hanging="425"/>
        <w:rPr>
          <w:rFonts w:eastAsiaTheme="minorHAnsi"/>
          <w:bCs/>
          <w:color w:val="141414"/>
          <w:sz w:val="22"/>
          <w:szCs w:val="22"/>
          <w:lang w:eastAsia="en-US"/>
        </w:rPr>
      </w:pPr>
      <w:r w:rsidRPr="00AB512A">
        <w:rPr>
          <w:rFonts w:eastAsiaTheme="minorHAnsi"/>
          <w:bCs/>
          <w:color w:val="141414"/>
          <w:sz w:val="22"/>
          <w:szCs w:val="22"/>
          <w:lang w:eastAsia="en-US"/>
        </w:rPr>
        <w:t>•</w:t>
      </w:r>
      <w:r w:rsidRPr="00AB512A">
        <w:rPr>
          <w:rFonts w:eastAsiaTheme="minorHAnsi"/>
          <w:bCs/>
          <w:color w:val="141414"/>
          <w:sz w:val="22"/>
          <w:szCs w:val="22"/>
          <w:lang w:eastAsia="en-US"/>
        </w:rPr>
        <w:tab/>
        <w:t>fornitura parti di ricambio.</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Le attività di cui sopra saranno espletate come di seguito indicato.</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Manutenzione preventiva/ordinaria</w:t>
      </w:r>
    </w:p>
    <w:p w:rsidR="00604102" w:rsidRPr="00AB512A" w:rsidRDefault="00604102" w:rsidP="00AB512A">
      <w:pPr>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La manutenzione preventiva (o ordinaria) comprende le procedure periodiche di verifica, controllo, messa a punto, sostituzione parti di ricambio e parti soggette ad usura ed eventuale adeguamento e/o riconduzione delle parti risultanti non conformi, secondo le modalità previste dai manuali d’uso forniti in dotazione con lo strumento. L’aggiudicatario deve rispettare il calendario relativo agli interventi di manutenzione preventiva indicato nella propria offerta tecnica. Tale manutenzione dovrà comprendere, almeno un (1) intervento all’anno, con verifica completa e taratura del sistema a carico della ditta aggiudicataria.</w:t>
      </w:r>
    </w:p>
    <w:p w:rsidR="00604102" w:rsidRPr="00AB512A" w:rsidRDefault="00604102" w:rsidP="00AB512A">
      <w:pPr>
        <w:autoSpaceDE w:val="0"/>
        <w:autoSpaceDN w:val="0"/>
        <w:adjustRightInd w:val="0"/>
        <w:jc w:val="both"/>
        <w:rPr>
          <w:rFonts w:eastAsiaTheme="minorHAnsi"/>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Manutenzione correttiva/straordinaria</w:t>
      </w:r>
    </w:p>
    <w:p w:rsidR="00604102" w:rsidRPr="00AB512A" w:rsidRDefault="00604102" w:rsidP="00AB512A">
      <w:pPr>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La manutenzione correttiva (o straordinaria) comprende la riparazione e/o la sostituzione di tutte le parti, accessori e di quant'altro componga il bene che subiscano guasti dovuti a difetti o deficienze del bene o per usura naturale.</w:t>
      </w:r>
    </w:p>
    <w:p w:rsidR="00604102" w:rsidRPr="00AB512A" w:rsidRDefault="00604102" w:rsidP="00AB512A">
      <w:pPr>
        <w:autoSpaceDE w:val="0"/>
        <w:autoSpaceDN w:val="0"/>
        <w:adjustRightInd w:val="0"/>
        <w:jc w:val="both"/>
        <w:rPr>
          <w:rFonts w:eastAsiaTheme="minorHAnsi"/>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La manutenzione straordinaria sarà effettuata con le seguenti modalità:</w:t>
      </w:r>
    </w:p>
    <w:p w:rsidR="00604102" w:rsidRPr="00AB512A" w:rsidRDefault="00604102" w:rsidP="00AB512A">
      <w:pPr>
        <w:autoSpaceDE w:val="0"/>
        <w:autoSpaceDN w:val="0"/>
        <w:adjustRightInd w:val="0"/>
        <w:jc w:val="both"/>
        <w:rPr>
          <w:rFonts w:eastAsiaTheme="minorHAnsi"/>
          <w:bCs/>
          <w:color w:val="141414"/>
          <w:sz w:val="22"/>
          <w:szCs w:val="22"/>
          <w:lang w:eastAsia="en-US"/>
        </w:rPr>
      </w:pPr>
    </w:p>
    <w:p w:rsidR="00AB512A" w:rsidRDefault="00AB512A" w:rsidP="00BB0BD9">
      <w:pPr>
        <w:pStyle w:val="Paragrafoelenco"/>
        <w:numPr>
          <w:ilvl w:val="0"/>
          <w:numId w:val="5"/>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N</w:t>
      </w:r>
      <w:r w:rsidR="00604102" w:rsidRPr="00AB512A">
        <w:rPr>
          <w:rFonts w:eastAsiaTheme="minorHAnsi"/>
          <w:bCs/>
          <w:color w:val="141414"/>
          <w:sz w:val="22"/>
          <w:szCs w:val="22"/>
          <w:lang w:eastAsia="en-US"/>
        </w:rPr>
        <w:t>umero interventi su chiamata (telefonica o via web) illimitati;</w:t>
      </w:r>
    </w:p>
    <w:p w:rsidR="00AB512A" w:rsidRDefault="00AB512A" w:rsidP="00BB0BD9">
      <w:pPr>
        <w:pStyle w:val="Paragrafoelenco"/>
        <w:numPr>
          <w:ilvl w:val="0"/>
          <w:numId w:val="5"/>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T</w:t>
      </w:r>
      <w:r w:rsidR="00604102" w:rsidRPr="00AB512A">
        <w:rPr>
          <w:rFonts w:eastAsiaTheme="minorHAnsi"/>
          <w:bCs/>
          <w:color w:val="141414"/>
          <w:sz w:val="22"/>
          <w:szCs w:val="22"/>
          <w:lang w:eastAsia="en-US"/>
        </w:rPr>
        <w:t>empo di intervento entro 48 (quarantotto) ore solari, esclusi sabato e festivi, dalla chiamata comunicata al servizio di assistenza dell’aggiudicatario;</w:t>
      </w:r>
    </w:p>
    <w:p w:rsidR="00AB512A" w:rsidRDefault="00AB512A" w:rsidP="00BB0BD9">
      <w:pPr>
        <w:pStyle w:val="Paragrafoelenco"/>
        <w:numPr>
          <w:ilvl w:val="0"/>
          <w:numId w:val="5"/>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R</w:t>
      </w:r>
      <w:r w:rsidR="00604102" w:rsidRPr="00AB512A">
        <w:rPr>
          <w:rFonts w:eastAsiaTheme="minorHAnsi"/>
          <w:bCs/>
          <w:color w:val="141414"/>
          <w:sz w:val="22"/>
          <w:szCs w:val="22"/>
          <w:lang w:eastAsia="en-US"/>
        </w:rPr>
        <w:t>iparazione e/o sostituzione di parti di ricambio a qualsiasi titolo deteriorate, salvo cause dovute a negligenza dell’utilizzatore e cause di forza maggiore, con oneri a carico della ditta aggiudicataria;</w:t>
      </w:r>
      <w:r>
        <w:rPr>
          <w:rFonts w:eastAsiaTheme="minorHAnsi"/>
          <w:bCs/>
          <w:color w:val="141414"/>
          <w:sz w:val="22"/>
          <w:szCs w:val="22"/>
          <w:lang w:eastAsia="en-US"/>
        </w:rPr>
        <w:t xml:space="preserve"> </w:t>
      </w:r>
    </w:p>
    <w:p w:rsidR="00604102" w:rsidRPr="00AB512A" w:rsidRDefault="00AB512A" w:rsidP="00BB0BD9">
      <w:pPr>
        <w:pStyle w:val="Paragrafoelenco"/>
        <w:numPr>
          <w:ilvl w:val="0"/>
          <w:numId w:val="5"/>
        </w:numPr>
        <w:autoSpaceDE w:val="0"/>
        <w:autoSpaceDN w:val="0"/>
        <w:adjustRightInd w:val="0"/>
        <w:jc w:val="both"/>
        <w:rPr>
          <w:rFonts w:eastAsiaTheme="minorHAnsi"/>
          <w:bCs/>
          <w:color w:val="141414"/>
          <w:sz w:val="22"/>
          <w:szCs w:val="22"/>
          <w:lang w:eastAsia="en-US"/>
        </w:rPr>
      </w:pPr>
      <w:r>
        <w:rPr>
          <w:rFonts w:eastAsiaTheme="minorHAnsi"/>
          <w:bCs/>
          <w:color w:val="141414"/>
          <w:sz w:val="22"/>
          <w:szCs w:val="22"/>
          <w:lang w:eastAsia="en-US"/>
        </w:rPr>
        <w:t>T</w:t>
      </w:r>
      <w:r w:rsidR="00604102" w:rsidRPr="00AB512A">
        <w:rPr>
          <w:rFonts w:eastAsiaTheme="minorHAnsi"/>
          <w:bCs/>
          <w:color w:val="141414"/>
          <w:sz w:val="22"/>
          <w:szCs w:val="22"/>
          <w:lang w:eastAsia="en-US"/>
        </w:rPr>
        <w:t>empi di ripristino delle funzionalità dell’apparecchiatura guasta o sostituzione con un’apparecchiatura identica a quella guasta entro 5 (cinque) giorni lavorativi dall’intervento.</w:t>
      </w:r>
    </w:p>
    <w:p w:rsidR="00604102" w:rsidRPr="00AB512A" w:rsidRDefault="00604102" w:rsidP="00AB512A">
      <w:pPr>
        <w:autoSpaceDE w:val="0"/>
        <w:autoSpaceDN w:val="0"/>
        <w:adjustRightInd w:val="0"/>
        <w:jc w:val="both"/>
        <w:rPr>
          <w:rFonts w:eastAsiaTheme="minorHAnsi"/>
          <w:bCs/>
          <w:color w:val="141414"/>
          <w:sz w:val="22"/>
          <w:szCs w:val="22"/>
          <w:lang w:eastAsia="en-US"/>
        </w:rPr>
      </w:pPr>
    </w:p>
    <w:p w:rsidR="00604102" w:rsidRPr="00AB512A" w:rsidRDefault="00604102" w:rsidP="00B25213">
      <w:pPr>
        <w:autoSpaceDE w:val="0"/>
        <w:autoSpaceDN w:val="0"/>
        <w:adjustRightInd w:val="0"/>
        <w:jc w:val="both"/>
        <w:rPr>
          <w:rFonts w:eastAsiaTheme="minorHAnsi"/>
          <w:bCs/>
          <w:color w:val="141414"/>
          <w:sz w:val="22"/>
          <w:szCs w:val="22"/>
          <w:lang w:eastAsia="en-US"/>
        </w:rPr>
      </w:pPr>
      <w:r w:rsidRPr="00AB512A">
        <w:rPr>
          <w:rFonts w:eastAsiaTheme="minorHAnsi"/>
          <w:bCs/>
          <w:color w:val="141414"/>
          <w:sz w:val="22"/>
          <w:szCs w:val="22"/>
          <w:lang w:eastAsia="en-US"/>
        </w:rPr>
        <w:t>Sia per gli interventi di manutenzione ordinaria che straordinaria sarà onere della ditta aggiudicataria redigere un verbale/certificato di intervento.</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Fornitura parti di ricambio</w:t>
      </w:r>
    </w:p>
    <w:p w:rsidR="00604102" w:rsidRPr="00B25213" w:rsidRDefault="00604102" w:rsidP="00B25213">
      <w:pPr>
        <w:autoSpaceDE w:val="0"/>
        <w:autoSpaceDN w:val="0"/>
        <w:adjustRightInd w:val="0"/>
        <w:jc w:val="both"/>
        <w:rPr>
          <w:rFonts w:eastAsiaTheme="minorHAnsi"/>
          <w:bCs/>
          <w:color w:val="141414"/>
          <w:sz w:val="22"/>
          <w:szCs w:val="22"/>
          <w:lang w:eastAsia="en-US"/>
        </w:rPr>
      </w:pPr>
      <w:r w:rsidRPr="00B25213">
        <w:rPr>
          <w:rFonts w:eastAsiaTheme="minorHAnsi"/>
          <w:bCs/>
          <w:color w:val="141414"/>
          <w:sz w:val="22"/>
          <w:szCs w:val="22"/>
          <w:lang w:eastAsia="en-US"/>
        </w:rPr>
        <w:t>I ricambi e gli accessori montati e/o installati dovranno essere quelli originali, prescritti, approvati o consigliati dal produttore.</w:t>
      </w:r>
    </w:p>
    <w:p w:rsidR="00604102" w:rsidRPr="00B25213" w:rsidRDefault="00604102" w:rsidP="00B25213">
      <w:pPr>
        <w:autoSpaceDE w:val="0"/>
        <w:autoSpaceDN w:val="0"/>
        <w:adjustRightInd w:val="0"/>
        <w:jc w:val="both"/>
        <w:rPr>
          <w:rFonts w:eastAsiaTheme="minorHAnsi"/>
          <w:bCs/>
          <w:color w:val="141414"/>
          <w:sz w:val="22"/>
          <w:szCs w:val="22"/>
          <w:lang w:eastAsia="en-US"/>
        </w:rPr>
      </w:pPr>
      <w:r w:rsidRPr="00B25213">
        <w:rPr>
          <w:rFonts w:eastAsiaTheme="minorHAnsi"/>
          <w:bCs/>
          <w:color w:val="141414"/>
          <w:sz w:val="22"/>
          <w:szCs w:val="22"/>
          <w:lang w:eastAsia="en-US"/>
        </w:rPr>
        <w:t>Si rinvia, per quanto qui non espresso, alle norme del codice civile in materia di garanzia per vizi, difetti e/o mancanza di qualità, nonché alle altre norme del medesimo codice applicabili alla fattispecie.</w:t>
      </w:r>
    </w:p>
    <w:p w:rsidR="00604102" w:rsidRPr="00B25213" w:rsidRDefault="00604102" w:rsidP="00B25213">
      <w:pPr>
        <w:autoSpaceDE w:val="0"/>
        <w:autoSpaceDN w:val="0"/>
        <w:adjustRightInd w:val="0"/>
        <w:jc w:val="both"/>
        <w:rPr>
          <w:rFonts w:eastAsiaTheme="minorHAnsi"/>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Saranno escluse dalla gara le offerte che non prevedono un servizio di assistenza e manutenzione conforme ai termini, alle condizioni ed alle modalità di cui sopra.</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604102" w:rsidRDefault="00604102" w:rsidP="00604102">
      <w:pPr>
        <w:autoSpaceDE w:val="0"/>
        <w:autoSpaceDN w:val="0"/>
        <w:adjustRightInd w:val="0"/>
        <w:rPr>
          <w:rFonts w:eastAsiaTheme="minorHAnsi"/>
          <w:b/>
          <w:bCs/>
          <w:color w:val="141414"/>
          <w:sz w:val="22"/>
          <w:szCs w:val="22"/>
          <w:lang w:eastAsia="en-US"/>
        </w:rPr>
      </w:pPr>
      <w:r w:rsidRPr="00604102">
        <w:rPr>
          <w:rFonts w:eastAsiaTheme="minorHAnsi"/>
          <w:b/>
          <w:bCs/>
          <w:color w:val="141414"/>
          <w:sz w:val="22"/>
          <w:szCs w:val="22"/>
          <w:lang w:eastAsia="en-US"/>
        </w:rPr>
        <w:tab/>
      </w:r>
    </w:p>
    <w:p w:rsidR="00604102" w:rsidRPr="00B25213" w:rsidRDefault="00B25213" w:rsidP="00604102">
      <w:pPr>
        <w:autoSpaceDE w:val="0"/>
        <w:autoSpaceDN w:val="0"/>
        <w:adjustRightInd w:val="0"/>
        <w:rPr>
          <w:rFonts w:eastAsiaTheme="minorHAnsi"/>
          <w:b/>
          <w:bCs/>
          <w:i/>
          <w:color w:val="141414"/>
          <w:sz w:val="22"/>
          <w:szCs w:val="22"/>
          <w:u w:val="single"/>
          <w:lang w:eastAsia="en-US"/>
        </w:rPr>
      </w:pPr>
      <w:r>
        <w:rPr>
          <w:rFonts w:eastAsiaTheme="minorHAnsi"/>
          <w:b/>
          <w:bCs/>
          <w:i/>
          <w:color w:val="141414"/>
          <w:sz w:val="22"/>
          <w:szCs w:val="22"/>
          <w:u w:val="single"/>
          <w:lang w:eastAsia="en-US"/>
        </w:rPr>
        <w:t>1.5 T</w:t>
      </w:r>
      <w:r w:rsidRPr="00B25213">
        <w:rPr>
          <w:rFonts w:eastAsiaTheme="minorHAnsi"/>
          <w:b/>
          <w:bCs/>
          <w:i/>
          <w:color w:val="141414"/>
          <w:sz w:val="22"/>
          <w:szCs w:val="22"/>
          <w:u w:val="single"/>
          <w:lang w:eastAsia="en-US"/>
        </w:rPr>
        <w:t>raining</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B25213" w:rsidRDefault="00604102" w:rsidP="00BB0BD9">
      <w:pPr>
        <w:pStyle w:val="Paragrafoelenco"/>
        <w:numPr>
          <w:ilvl w:val="0"/>
          <w:numId w:val="4"/>
        </w:numPr>
        <w:autoSpaceDE w:val="0"/>
        <w:autoSpaceDN w:val="0"/>
        <w:adjustRightInd w:val="0"/>
        <w:rPr>
          <w:rFonts w:eastAsiaTheme="minorHAnsi"/>
          <w:bCs/>
          <w:color w:val="141414"/>
          <w:sz w:val="22"/>
          <w:szCs w:val="22"/>
          <w:lang w:eastAsia="en-US"/>
        </w:rPr>
      </w:pPr>
      <w:r w:rsidRPr="00B25213">
        <w:rPr>
          <w:rFonts w:eastAsiaTheme="minorHAnsi"/>
          <w:bCs/>
          <w:color w:val="141414"/>
          <w:sz w:val="22"/>
          <w:szCs w:val="22"/>
          <w:lang w:eastAsia="en-US"/>
        </w:rPr>
        <w:t>Training a cura di personale specializzato della Società aggiudicataria, di durata obbligatoria minima di 3 (tre) giorni, per la formazione di personale del CNR ITAE circa il corretto uso e funzionamento dello spettrometro di cui ai precedenti commi 1.2 e 1.3. Tale formazione dovrà aver luogo presso la sede del CNR ITAE successivamente all’installazione ed al collaudo dello spettrometro di cui sopra. Saranno escluse dalla gara le offerte che non prevedono un training conforme ai termini e</w:t>
      </w:r>
      <w:r w:rsidR="00B25213" w:rsidRPr="00B25213">
        <w:rPr>
          <w:rFonts w:eastAsiaTheme="minorHAnsi"/>
          <w:bCs/>
          <w:color w:val="141414"/>
          <w:sz w:val="22"/>
          <w:szCs w:val="22"/>
          <w:lang w:eastAsia="en-US"/>
        </w:rPr>
        <w:t>d alle condizioni di cui sopra.</w:t>
      </w:r>
    </w:p>
    <w:p w:rsidR="00604102" w:rsidRPr="00604102" w:rsidRDefault="00604102" w:rsidP="00604102">
      <w:pPr>
        <w:autoSpaceDE w:val="0"/>
        <w:autoSpaceDN w:val="0"/>
        <w:adjustRightInd w:val="0"/>
        <w:rPr>
          <w:rFonts w:eastAsiaTheme="minorHAnsi"/>
          <w:b/>
          <w:bCs/>
          <w:color w:val="141414"/>
          <w:sz w:val="22"/>
          <w:szCs w:val="22"/>
          <w:lang w:eastAsia="en-US"/>
        </w:rPr>
      </w:pPr>
    </w:p>
    <w:p w:rsidR="00604102" w:rsidRPr="00B25213" w:rsidRDefault="00B25213" w:rsidP="00BB0BD9">
      <w:pPr>
        <w:pStyle w:val="Paragrafoelenco"/>
        <w:numPr>
          <w:ilvl w:val="1"/>
          <w:numId w:val="3"/>
        </w:numPr>
        <w:autoSpaceDE w:val="0"/>
        <w:autoSpaceDN w:val="0"/>
        <w:adjustRightInd w:val="0"/>
        <w:rPr>
          <w:rFonts w:eastAsiaTheme="minorHAnsi"/>
          <w:b/>
          <w:bCs/>
          <w:i/>
          <w:color w:val="141414"/>
          <w:sz w:val="22"/>
          <w:szCs w:val="22"/>
          <w:u w:val="single"/>
          <w:lang w:eastAsia="en-US"/>
        </w:rPr>
      </w:pPr>
      <w:r w:rsidRPr="00B25213">
        <w:rPr>
          <w:rFonts w:eastAsiaTheme="minorHAnsi"/>
          <w:b/>
          <w:bCs/>
          <w:i/>
          <w:color w:val="141414"/>
          <w:sz w:val="22"/>
          <w:szCs w:val="22"/>
          <w:u w:val="single"/>
          <w:lang w:eastAsia="en-US"/>
        </w:rPr>
        <w:t>Ritiro con permuta di spettrometro di fluorescenza a raggi X</w:t>
      </w:r>
    </w:p>
    <w:p w:rsidR="00604102" w:rsidRPr="00604102" w:rsidRDefault="00604102" w:rsidP="00604102">
      <w:pPr>
        <w:autoSpaceDE w:val="0"/>
        <w:autoSpaceDN w:val="0"/>
        <w:adjustRightInd w:val="0"/>
        <w:rPr>
          <w:rFonts w:eastAsiaTheme="minorHAnsi"/>
          <w:b/>
          <w:bCs/>
          <w:color w:val="141414"/>
          <w:sz w:val="22"/>
          <w:szCs w:val="22"/>
          <w:lang w:eastAsia="en-US"/>
        </w:rPr>
      </w:pPr>
    </w:p>
    <w:p w:rsidR="002C20D8" w:rsidRPr="00B333E1" w:rsidRDefault="00604102" w:rsidP="00BB0BD9">
      <w:pPr>
        <w:pStyle w:val="Paragrafoelenco"/>
        <w:numPr>
          <w:ilvl w:val="0"/>
          <w:numId w:val="4"/>
        </w:numPr>
        <w:autoSpaceDE w:val="0"/>
        <w:autoSpaceDN w:val="0"/>
        <w:adjustRightInd w:val="0"/>
        <w:ind w:left="851" w:hanging="567"/>
        <w:jc w:val="both"/>
        <w:rPr>
          <w:rFonts w:eastAsiaTheme="minorHAnsi"/>
          <w:b/>
          <w:bCs/>
          <w:color w:val="141414"/>
          <w:sz w:val="22"/>
          <w:szCs w:val="22"/>
          <w:lang w:eastAsia="en-US"/>
        </w:rPr>
      </w:pPr>
      <w:r w:rsidRPr="00B25213">
        <w:rPr>
          <w:rFonts w:eastAsiaTheme="minorHAnsi"/>
          <w:bCs/>
          <w:color w:val="141414"/>
          <w:sz w:val="22"/>
          <w:szCs w:val="22"/>
          <w:lang w:eastAsia="en-US"/>
        </w:rPr>
        <w:t xml:space="preserve">Lo spettrometro XRF WD - modello </w:t>
      </w:r>
      <w:proofErr w:type="spellStart"/>
      <w:r w:rsidRPr="00B25213">
        <w:rPr>
          <w:rFonts w:eastAsiaTheme="minorHAnsi"/>
          <w:bCs/>
          <w:color w:val="141414"/>
          <w:sz w:val="22"/>
          <w:szCs w:val="22"/>
          <w:lang w:eastAsia="en-US"/>
        </w:rPr>
        <w:t>Bruker</w:t>
      </w:r>
      <w:proofErr w:type="spellEnd"/>
      <w:r w:rsidRPr="00B25213">
        <w:rPr>
          <w:rFonts w:eastAsiaTheme="minorHAnsi"/>
          <w:bCs/>
          <w:color w:val="141414"/>
          <w:sz w:val="22"/>
          <w:szCs w:val="22"/>
          <w:lang w:eastAsia="en-US"/>
        </w:rPr>
        <w:t xml:space="preserve"> S4 Explorer, di proprietà del CNR ITAE ed attualmente installato presso la sua sede, è stato acquistato nel 2001 ed è fuori servizio a causa della rottura del tubo a raggi X. La Società aggiudicataria dovrà provvedere obbligatoriamente, quale unico responsabile, ad ogni attività connessa al ritiro dello spettrometro attualmente installato presso la sede del CNR ITAE, al pian terreno dello stabile di Via S. Lucia Sopra Contesse 5, Messina. A tal fine, sarà onere della ditta aggiudicataria porre in essere tutte le attività necessarie quali, a titolo meramente esemplificativo e non esaustivo, quelle relative a disinstallazione, smontaggio, ritiro e trasporto dalla sede CNR ITAE per il trasferimento presso la sede di destinazione. La ditta aggiudicataria dovrà provvedere al ritiro dello spettrometro sopra descritto entro il termine massimo di 60 (sessanta) giorni naturali e consecutivi dalla data di stipula del contratto d’appalto (salvo tempi diversi indicati nell’offerta, che in ogni caso non potranno essere superiori a quello predetto). È obbligo delle ditte partecipanti alla gara effettuare un sopralluogo presso la sede del CNR ITAE, finalizzato a verificare lo stato dello strumento da ritirare, previo accordi con i</w:t>
      </w:r>
      <w:r w:rsidR="00B333E1">
        <w:rPr>
          <w:rFonts w:eastAsiaTheme="minorHAnsi"/>
          <w:bCs/>
          <w:color w:val="141414"/>
          <w:sz w:val="22"/>
          <w:szCs w:val="22"/>
          <w:lang w:eastAsia="en-US"/>
        </w:rPr>
        <w:t>l Responsabile del Laboratorio.</w:t>
      </w:r>
    </w:p>
    <w:p w:rsidR="00B333E1" w:rsidRDefault="00B333E1" w:rsidP="00B333E1">
      <w:pPr>
        <w:autoSpaceDE w:val="0"/>
        <w:autoSpaceDN w:val="0"/>
        <w:adjustRightInd w:val="0"/>
        <w:jc w:val="both"/>
        <w:rPr>
          <w:rFonts w:eastAsiaTheme="minorHAnsi"/>
          <w:b/>
          <w:bCs/>
          <w:color w:val="141414"/>
          <w:sz w:val="22"/>
          <w:szCs w:val="22"/>
          <w:lang w:eastAsia="en-US"/>
        </w:rPr>
      </w:pPr>
    </w:p>
    <w:p w:rsidR="00604102" w:rsidRDefault="00B333E1" w:rsidP="00BB0BD9">
      <w:pPr>
        <w:pStyle w:val="Paragrafoelenco"/>
        <w:numPr>
          <w:ilvl w:val="0"/>
          <w:numId w:val="3"/>
        </w:numPr>
        <w:autoSpaceDE w:val="0"/>
        <w:autoSpaceDN w:val="0"/>
        <w:adjustRightInd w:val="0"/>
        <w:jc w:val="both"/>
        <w:rPr>
          <w:rFonts w:eastAsiaTheme="minorHAnsi"/>
          <w:b/>
          <w:color w:val="141414"/>
          <w:sz w:val="22"/>
          <w:szCs w:val="22"/>
          <w:lang w:eastAsia="en-US"/>
        </w:rPr>
      </w:pPr>
      <w:r w:rsidRPr="00B333E1">
        <w:rPr>
          <w:rFonts w:eastAsiaTheme="minorHAnsi"/>
          <w:b/>
          <w:color w:val="141414"/>
          <w:sz w:val="22"/>
          <w:szCs w:val="22"/>
          <w:lang w:eastAsia="en-US"/>
        </w:rPr>
        <w:t>TERMINE E LUOGO DI CONSEGNA</w:t>
      </w:r>
    </w:p>
    <w:p w:rsidR="00B333E1" w:rsidRDefault="00B333E1" w:rsidP="00B333E1">
      <w:pPr>
        <w:pStyle w:val="Paragrafoelenco"/>
        <w:autoSpaceDE w:val="0"/>
        <w:autoSpaceDN w:val="0"/>
        <w:adjustRightInd w:val="0"/>
        <w:jc w:val="both"/>
        <w:rPr>
          <w:rFonts w:eastAsiaTheme="minorHAnsi"/>
          <w:color w:val="141414"/>
          <w:sz w:val="22"/>
          <w:szCs w:val="22"/>
          <w:lang w:eastAsia="en-US"/>
        </w:rPr>
      </w:pPr>
    </w:p>
    <w:p w:rsidR="00B333E1" w:rsidRDefault="00B333E1" w:rsidP="00B333E1">
      <w:pPr>
        <w:autoSpaceDE w:val="0"/>
        <w:autoSpaceDN w:val="0"/>
        <w:adjustRightInd w:val="0"/>
        <w:jc w:val="both"/>
        <w:rPr>
          <w:rFonts w:eastAsiaTheme="minorHAnsi"/>
          <w:color w:val="141414"/>
          <w:sz w:val="22"/>
          <w:szCs w:val="22"/>
          <w:lang w:eastAsia="en-US"/>
        </w:rPr>
      </w:pPr>
      <w:r w:rsidRPr="00B333E1">
        <w:rPr>
          <w:rFonts w:eastAsiaTheme="minorHAnsi"/>
          <w:color w:val="141414"/>
          <w:sz w:val="22"/>
          <w:szCs w:val="22"/>
          <w:lang w:eastAsia="en-US"/>
        </w:rPr>
        <w:t>Lo spettrometro di fluorescenza a raggi X a dispersione di lunghezza d’onda (XRF-WD) ed ACCESSORI di cui al</w:t>
      </w:r>
      <w:r w:rsidR="00542E14">
        <w:rPr>
          <w:rFonts w:eastAsiaTheme="minorHAnsi"/>
          <w:color w:val="141414"/>
          <w:sz w:val="22"/>
          <w:szCs w:val="22"/>
          <w:lang w:eastAsia="en-US"/>
        </w:rPr>
        <w:t xml:space="preserve"> precedente Art. 1, collaudato </w:t>
      </w:r>
      <w:r w:rsidRPr="00B333E1">
        <w:rPr>
          <w:rFonts w:eastAsiaTheme="minorHAnsi"/>
          <w:color w:val="141414"/>
          <w:sz w:val="22"/>
          <w:szCs w:val="22"/>
          <w:lang w:eastAsia="en-US"/>
        </w:rPr>
        <w:t xml:space="preserve">dovrà essere consegnato presso la sede della Stazione Appaltante (Via Santa Lucia sopra Contesse n. 5 – Messina – Italia) o presso altra sede individuata dal Committente, non oltre il termine massimo di </w:t>
      </w:r>
      <w:r w:rsidR="00654EDF">
        <w:rPr>
          <w:rFonts w:eastAsiaTheme="minorHAnsi"/>
          <w:color w:val="141414"/>
          <w:sz w:val="22"/>
          <w:szCs w:val="22"/>
          <w:lang w:eastAsia="en-US"/>
        </w:rPr>
        <w:t>12</w:t>
      </w:r>
      <w:r w:rsidRPr="00B333E1">
        <w:rPr>
          <w:rFonts w:eastAsiaTheme="minorHAnsi"/>
          <w:color w:val="141414"/>
          <w:sz w:val="22"/>
          <w:szCs w:val="22"/>
          <w:lang w:eastAsia="en-US"/>
        </w:rPr>
        <w:t>0 giorni naturali, successivi e continui dalla data di stipula del contratto d’appalto.</w:t>
      </w:r>
    </w:p>
    <w:p w:rsidR="00B333E1" w:rsidRDefault="00B333E1" w:rsidP="00B333E1">
      <w:pPr>
        <w:autoSpaceDE w:val="0"/>
        <w:autoSpaceDN w:val="0"/>
        <w:adjustRightInd w:val="0"/>
        <w:jc w:val="both"/>
        <w:rPr>
          <w:rFonts w:eastAsiaTheme="minorHAnsi"/>
          <w:color w:val="141414"/>
          <w:sz w:val="22"/>
          <w:szCs w:val="22"/>
          <w:lang w:eastAsia="en-US"/>
        </w:rPr>
      </w:pPr>
    </w:p>
    <w:p w:rsidR="00654EDF" w:rsidRDefault="00654EDF" w:rsidP="00BB0BD9">
      <w:pPr>
        <w:pStyle w:val="Paragrafoelenco"/>
        <w:numPr>
          <w:ilvl w:val="0"/>
          <w:numId w:val="3"/>
        </w:numPr>
        <w:autoSpaceDE w:val="0"/>
        <w:autoSpaceDN w:val="0"/>
        <w:adjustRightInd w:val="0"/>
        <w:jc w:val="both"/>
        <w:rPr>
          <w:rFonts w:eastAsiaTheme="minorHAnsi"/>
          <w:b/>
          <w:color w:val="141414"/>
          <w:sz w:val="22"/>
          <w:szCs w:val="22"/>
          <w:lang w:eastAsia="en-US"/>
        </w:rPr>
      </w:pPr>
      <w:r>
        <w:rPr>
          <w:rFonts w:eastAsiaTheme="minorHAnsi"/>
          <w:b/>
          <w:color w:val="141414"/>
          <w:sz w:val="22"/>
          <w:szCs w:val="22"/>
          <w:lang w:eastAsia="en-US"/>
        </w:rPr>
        <w:t>SOPRALLUOGO</w:t>
      </w:r>
    </w:p>
    <w:p w:rsidR="00654EDF" w:rsidRDefault="00654EDF" w:rsidP="00654EDF">
      <w:pPr>
        <w:pStyle w:val="Paragrafoelenco"/>
        <w:autoSpaceDE w:val="0"/>
        <w:autoSpaceDN w:val="0"/>
        <w:adjustRightInd w:val="0"/>
        <w:jc w:val="both"/>
        <w:rPr>
          <w:rFonts w:eastAsiaTheme="minorHAnsi"/>
          <w:b/>
          <w:color w:val="141414"/>
          <w:sz w:val="22"/>
          <w:szCs w:val="22"/>
          <w:lang w:eastAsia="en-US"/>
        </w:rPr>
      </w:pPr>
    </w:p>
    <w:p w:rsidR="00654EDF" w:rsidRDefault="00654EDF" w:rsidP="00654EDF">
      <w:pPr>
        <w:autoSpaceDE w:val="0"/>
        <w:autoSpaceDN w:val="0"/>
        <w:adjustRightInd w:val="0"/>
        <w:jc w:val="both"/>
        <w:rPr>
          <w:rFonts w:eastAsiaTheme="minorHAnsi"/>
          <w:color w:val="141414"/>
          <w:sz w:val="22"/>
          <w:szCs w:val="22"/>
          <w:lang w:eastAsia="en-US"/>
        </w:rPr>
      </w:pPr>
      <w:r w:rsidRPr="00654EDF">
        <w:rPr>
          <w:rFonts w:eastAsiaTheme="minorHAnsi"/>
          <w:color w:val="141414"/>
          <w:sz w:val="22"/>
          <w:szCs w:val="22"/>
          <w:lang w:eastAsia="en-US"/>
        </w:rPr>
        <w:t>Le Ditte partecipanti (pena l’esclusione) dovranno eseguire un sopralluogo presso la sede del CNR ITAE (Via Santa Lucia sopra contesse n. 5 – Messina) finalizzato a:</w:t>
      </w:r>
    </w:p>
    <w:p w:rsidR="00654EDF" w:rsidRDefault="00542E14" w:rsidP="00BB0BD9">
      <w:pPr>
        <w:pStyle w:val="Paragrafoelenco"/>
        <w:numPr>
          <w:ilvl w:val="0"/>
          <w:numId w:val="5"/>
        </w:numPr>
        <w:autoSpaceDE w:val="0"/>
        <w:autoSpaceDN w:val="0"/>
        <w:adjustRightInd w:val="0"/>
        <w:jc w:val="both"/>
        <w:rPr>
          <w:rFonts w:eastAsiaTheme="minorHAnsi"/>
          <w:color w:val="141414"/>
          <w:sz w:val="22"/>
          <w:szCs w:val="22"/>
          <w:lang w:eastAsia="en-US"/>
        </w:rPr>
      </w:pPr>
      <w:proofErr w:type="spellStart"/>
      <w:proofErr w:type="gramStart"/>
      <w:r>
        <w:rPr>
          <w:rFonts w:eastAsiaTheme="minorHAnsi"/>
          <w:color w:val="141414"/>
          <w:sz w:val="22"/>
          <w:szCs w:val="22"/>
          <w:lang w:eastAsia="en-US"/>
        </w:rPr>
        <w:t>verificare</w:t>
      </w:r>
      <w:r w:rsidR="00654EDF" w:rsidRPr="00654EDF">
        <w:rPr>
          <w:rFonts w:eastAsiaTheme="minorHAnsi"/>
          <w:color w:val="141414"/>
          <w:sz w:val="22"/>
          <w:szCs w:val="22"/>
          <w:lang w:eastAsia="en-US"/>
        </w:rPr>
        <w:t>l’idoneità</w:t>
      </w:r>
      <w:proofErr w:type="spellEnd"/>
      <w:proofErr w:type="gramEnd"/>
      <w:r w:rsidR="00654EDF" w:rsidRPr="00654EDF">
        <w:rPr>
          <w:rFonts w:eastAsiaTheme="minorHAnsi"/>
          <w:color w:val="141414"/>
          <w:sz w:val="22"/>
          <w:szCs w:val="22"/>
          <w:lang w:eastAsia="en-US"/>
        </w:rPr>
        <w:t xml:space="preserve"> dei locali destinati ad accogliere lo strumento da acquisire.  Sarà onere delle ditte partecipanti indicare per iscritto, in sede di presentazione dell’offerta tecnica, le differenti utenze (elettriche, gas, acqua), opportunamente dimensionate, che dovranno essere presenti nei locali di destinazione dello strumento, nonché, eventualmente altre annotazioni tecniche rilevanti ai fini del posizionamento, dell’installazione e del funzionamento ottimali dello strumento. Le modifiche che si rendessero necessarie nei locali destinati al posizionamento dello strumento saranno a carico del CNR ITAE;</w:t>
      </w:r>
    </w:p>
    <w:p w:rsidR="00654EDF" w:rsidRPr="00654EDF" w:rsidRDefault="00542E14" w:rsidP="00BB0BD9">
      <w:pPr>
        <w:pStyle w:val="Paragrafoelenco"/>
        <w:numPr>
          <w:ilvl w:val="0"/>
          <w:numId w:val="5"/>
        </w:numPr>
        <w:autoSpaceDE w:val="0"/>
        <w:autoSpaceDN w:val="0"/>
        <w:adjustRightInd w:val="0"/>
        <w:jc w:val="both"/>
        <w:rPr>
          <w:rFonts w:eastAsiaTheme="minorHAnsi"/>
          <w:color w:val="141414"/>
          <w:sz w:val="22"/>
          <w:szCs w:val="22"/>
          <w:lang w:eastAsia="en-US"/>
        </w:rPr>
      </w:pPr>
      <w:r>
        <w:rPr>
          <w:rFonts w:eastAsiaTheme="minorHAnsi"/>
          <w:color w:val="141414"/>
          <w:sz w:val="22"/>
          <w:szCs w:val="22"/>
          <w:lang w:eastAsia="en-US"/>
        </w:rPr>
        <w:t>verificare</w:t>
      </w:r>
      <w:bookmarkStart w:id="0" w:name="_GoBack"/>
      <w:bookmarkEnd w:id="0"/>
      <w:r w:rsidR="00654EDF" w:rsidRPr="00654EDF">
        <w:rPr>
          <w:rFonts w:eastAsiaTheme="minorHAnsi"/>
          <w:color w:val="141414"/>
          <w:sz w:val="22"/>
          <w:szCs w:val="22"/>
          <w:lang w:eastAsia="en-US"/>
        </w:rPr>
        <w:t>lo stato dello strumento da ritirare.</w:t>
      </w:r>
    </w:p>
    <w:p w:rsidR="00654EDF" w:rsidRDefault="00654EDF" w:rsidP="00B333E1">
      <w:pPr>
        <w:autoSpaceDE w:val="0"/>
        <w:autoSpaceDN w:val="0"/>
        <w:adjustRightInd w:val="0"/>
        <w:jc w:val="both"/>
        <w:rPr>
          <w:rFonts w:eastAsiaTheme="minorHAnsi"/>
          <w:color w:val="141414"/>
          <w:sz w:val="22"/>
          <w:szCs w:val="22"/>
          <w:lang w:eastAsia="en-US"/>
        </w:rPr>
      </w:pPr>
    </w:p>
    <w:p w:rsidR="00654EDF" w:rsidRDefault="00654EDF" w:rsidP="00BB0BD9">
      <w:pPr>
        <w:pStyle w:val="Paragrafoelenco"/>
        <w:numPr>
          <w:ilvl w:val="0"/>
          <w:numId w:val="3"/>
        </w:num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CRITERIO DI AGGIUDICAZIONE E CRITERI DI VALUTAZIONE DELL’OFFERTA</w:t>
      </w:r>
    </w:p>
    <w:p w:rsidR="00654EDF" w:rsidRDefault="00654EDF" w:rsidP="00654EDF">
      <w:pPr>
        <w:autoSpaceDE w:val="0"/>
        <w:autoSpaceDN w:val="0"/>
        <w:adjustRightInd w:val="0"/>
        <w:jc w:val="both"/>
        <w:rPr>
          <w:rFonts w:eastAsiaTheme="minorHAnsi"/>
          <w:b/>
          <w:color w:val="141414"/>
          <w:sz w:val="22"/>
          <w:szCs w:val="22"/>
          <w:lang w:eastAsia="en-US"/>
        </w:rPr>
      </w:pPr>
    </w:p>
    <w:p w:rsidR="00654EDF" w:rsidRPr="00654EDF" w:rsidRDefault="00654EDF" w:rsidP="00654EDF">
      <w:pPr>
        <w:autoSpaceDE w:val="0"/>
        <w:autoSpaceDN w:val="0"/>
        <w:adjustRightInd w:val="0"/>
        <w:jc w:val="both"/>
        <w:rPr>
          <w:rFonts w:eastAsiaTheme="minorHAnsi"/>
          <w:color w:val="141414"/>
          <w:sz w:val="22"/>
          <w:szCs w:val="22"/>
          <w:lang w:eastAsia="en-US"/>
        </w:rPr>
      </w:pPr>
      <w:r w:rsidRPr="00654EDF">
        <w:rPr>
          <w:rFonts w:eastAsiaTheme="minorHAnsi"/>
          <w:color w:val="141414"/>
          <w:sz w:val="22"/>
          <w:szCs w:val="22"/>
          <w:lang w:eastAsia="en-US"/>
        </w:rPr>
        <w:t>La procedura di affidamento verrà aggiudicata all’offerta economicamente più vantaggiosa</w:t>
      </w:r>
      <w:r w:rsidR="007D5E41">
        <w:rPr>
          <w:rFonts w:eastAsiaTheme="minorHAnsi"/>
          <w:color w:val="141414"/>
          <w:sz w:val="22"/>
          <w:szCs w:val="22"/>
          <w:lang w:eastAsia="en-US"/>
        </w:rPr>
        <w:t xml:space="preserve"> come deliberato da </w:t>
      </w:r>
      <w:r w:rsidR="007D5E41" w:rsidRPr="007D5E41">
        <w:rPr>
          <w:rFonts w:eastAsiaTheme="minorHAnsi"/>
          <w:color w:val="141414"/>
          <w:sz w:val="22"/>
          <w:szCs w:val="22"/>
          <w:lang w:eastAsia="en-US"/>
        </w:rPr>
        <w:t xml:space="preserve">decisione di contrattare e atto di nomina RUP </w:t>
      </w:r>
      <w:proofErr w:type="spellStart"/>
      <w:r w:rsidR="007D5E41" w:rsidRPr="007D5E41">
        <w:rPr>
          <w:rFonts w:eastAsiaTheme="minorHAnsi"/>
          <w:color w:val="141414"/>
          <w:sz w:val="22"/>
          <w:szCs w:val="22"/>
          <w:lang w:eastAsia="en-US"/>
        </w:rPr>
        <w:t>prot</w:t>
      </w:r>
      <w:proofErr w:type="spellEnd"/>
      <w:r w:rsidR="007D5E41" w:rsidRPr="007D5E41">
        <w:rPr>
          <w:rFonts w:eastAsiaTheme="minorHAnsi"/>
          <w:color w:val="141414"/>
          <w:sz w:val="22"/>
          <w:szCs w:val="22"/>
          <w:lang w:eastAsia="en-US"/>
        </w:rPr>
        <w:t>. N° 0000706/2021del 09/03/2021</w:t>
      </w:r>
      <w:r w:rsidRPr="00654EDF">
        <w:rPr>
          <w:rFonts w:eastAsiaTheme="minorHAnsi"/>
          <w:color w:val="141414"/>
          <w:sz w:val="22"/>
          <w:szCs w:val="22"/>
          <w:lang w:eastAsia="en-US"/>
        </w:rPr>
        <w:t>, secondo i criteri di valutazione di seguito elencati ed i relativi punteggi.</w:t>
      </w:r>
    </w:p>
    <w:p w:rsidR="00654EDF" w:rsidRPr="007D5E41" w:rsidRDefault="00654EDF" w:rsidP="00654EDF">
      <w:pPr>
        <w:autoSpaceDE w:val="0"/>
        <w:autoSpaceDN w:val="0"/>
        <w:adjustRightInd w:val="0"/>
        <w:jc w:val="both"/>
        <w:rPr>
          <w:rFonts w:eastAsiaTheme="minorHAnsi"/>
          <w:color w:val="141414"/>
          <w:sz w:val="22"/>
          <w:szCs w:val="22"/>
          <w:lang w:eastAsia="en-US"/>
        </w:rPr>
      </w:pPr>
      <w:r w:rsidRPr="007D5E41">
        <w:rPr>
          <w:rFonts w:eastAsiaTheme="minorHAnsi"/>
          <w:color w:val="141414"/>
          <w:sz w:val="22"/>
          <w:szCs w:val="22"/>
          <w:lang w:eastAsia="en-US"/>
        </w:rPr>
        <w:t>Il Punteggio massimo complessivo raggiungibile è pari a 100 punti.</w:t>
      </w:r>
    </w:p>
    <w:p w:rsidR="00654EDF" w:rsidRPr="007D5E41" w:rsidRDefault="00654EDF" w:rsidP="00654EDF">
      <w:pPr>
        <w:autoSpaceDE w:val="0"/>
        <w:autoSpaceDN w:val="0"/>
        <w:adjustRightInd w:val="0"/>
        <w:jc w:val="both"/>
        <w:rPr>
          <w:rFonts w:eastAsiaTheme="minorHAnsi"/>
          <w:color w:val="141414"/>
          <w:sz w:val="22"/>
          <w:szCs w:val="22"/>
          <w:lang w:eastAsia="en-US"/>
        </w:rPr>
      </w:pPr>
    </w:p>
    <w:p w:rsidR="00654EDF" w:rsidRPr="00654EDF" w:rsidRDefault="00654EDF" w:rsidP="00654EDF">
      <w:p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OFFERTA TECNICA (MASSIMO 90 PUNTI)</w:t>
      </w:r>
    </w:p>
    <w:p w:rsidR="00654EDF" w:rsidRPr="00654EDF" w:rsidRDefault="00654EDF" w:rsidP="00654EDF">
      <w:p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All’offerta tecnica, verranno attribuiti i seguenti punteggi:</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D5E41"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7D5E41">
        <w:rPr>
          <w:rFonts w:eastAsiaTheme="minorHAnsi"/>
          <w:color w:val="141414"/>
          <w:sz w:val="22"/>
          <w:szCs w:val="22"/>
          <w:lang w:eastAsia="en-US"/>
        </w:rPr>
        <w:t xml:space="preserve">SISTEMA DI GESTIONE, MONITORAGGIO E CONTROLLO DELLO STRUMENTO (Max 2 Punti): saranno attribuiti 2 Punti alle offerte che prevedono strumentazioni con le quali è possibile eseguire analisi gestite direttamente dallo strumento senza l’ausilio del PC esterno, con richiamo ed esecuzione di metodiche di analisi pre-impostate, e relativo applicativo software di prevenzione degli </w:t>
      </w:r>
      <w:r w:rsidRPr="007D5E41">
        <w:rPr>
          <w:rFonts w:eastAsiaTheme="minorHAnsi"/>
          <w:color w:val="141414"/>
          <w:sz w:val="22"/>
          <w:szCs w:val="22"/>
          <w:lang w:eastAsia="en-US"/>
        </w:rPr>
        <w:lastRenderedPageBreak/>
        <w:t xml:space="preserve">errori umani, con livelli di accesso differenziati su qualifica predeterminata di cui all’Art. 1, comma 1.2, lettera c); </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D5E41"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7D5E41">
        <w:rPr>
          <w:rFonts w:eastAsiaTheme="minorHAnsi"/>
          <w:color w:val="141414"/>
          <w:sz w:val="22"/>
          <w:szCs w:val="22"/>
          <w:lang w:eastAsia="en-US"/>
        </w:rPr>
        <w:t xml:space="preserve">GENERATORE SORGENTE RAGGI X (MAX 6 Punti): alle offerte che prevedono una stabilità della tensione della corrente migliorie rispetto ai valori di cui all’Art. 1, comma 1.2, lettera f) saranno assegnati massimo </w:t>
      </w:r>
      <w:r w:rsidR="00FC029D">
        <w:rPr>
          <w:rFonts w:eastAsiaTheme="minorHAnsi"/>
          <w:color w:val="141414"/>
          <w:sz w:val="22"/>
          <w:szCs w:val="22"/>
          <w:lang w:eastAsia="en-US"/>
        </w:rPr>
        <w:t>6</w:t>
      </w:r>
      <w:r w:rsidRPr="007D5E41">
        <w:rPr>
          <w:rFonts w:eastAsiaTheme="minorHAnsi"/>
          <w:color w:val="141414"/>
          <w:sz w:val="22"/>
          <w:szCs w:val="22"/>
          <w:lang w:eastAsia="en-US"/>
        </w:rPr>
        <w:t xml:space="preserve"> punti secondo la seguente gradualità:</w:t>
      </w:r>
    </w:p>
    <w:p w:rsidR="00654EDF" w:rsidRPr="007D5E41" w:rsidRDefault="00654EDF" w:rsidP="007D5E41">
      <w:pPr>
        <w:autoSpaceDE w:val="0"/>
        <w:autoSpaceDN w:val="0"/>
        <w:adjustRightInd w:val="0"/>
        <w:ind w:left="426"/>
        <w:jc w:val="both"/>
        <w:rPr>
          <w:rFonts w:eastAsiaTheme="minorHAnsi"/>
          <w:color w:val="141414"/>
          <w:sz w:val="22"/>
          <w:szCs w:val="22"/>
          <w:lang w:eastAsia="en-US"/>
        </w:rPr>
      </w:pPr>
      <w:r w:rsidRPr="007D5E41">
        <w:rPr>
          <w:rFonts w:eastAsiaTheme="minorHAnsi"/>
          <w:color w:val="141414"/>
          <w:sz w:val="22"/>
          <w:szCs w:val="22"/>
          <w:lang w:eastAsia="en-US"/>
        </w:rPr>
        <w:t>•</w:t>
      </w:r>
      <w:r w:rsidRPr="007D5E41">
        <w:rPr>
          <w:rFonts w:eastAsiaTheme="minorHAnsi"/>
          <w:color w:val="141414"/>
          <w:sz w:val="22"/>
          <w:szCs w:val="22"/>
          <w:lang w:eastAsia="en-US"/>
        </w:rPr>
        <w:tab/>
        <w:t xml:space="preserve"> 1 Punto per oscillazione della tensione di +/- 0,004% per variazioni di rete di +/- 1%;</w:t>
      </w:r>
    </w:p>
    <w:p w:rsidR="00654EDF" w:rsidRPr="007D5E41" w:rsidRDefault="00654EDF" w:rsidP="007D5E41">
      <w:pPr>
        <w:autoSpaceDE w:val="0"/>
        <w:autoSpaceDN w:val="0"/>
        <w:adjustRightInd w:val="0"/>
        <w:ind w:left="426"/>
        <w:jc w:val="both"/>
        <w:rPr>
          <w:rFonts w:eastAsiaTheme="minorHAnsi"/>
          <w:color w:val="141414"/>
          <w:sz w:val="22"/>
          <w:szCs w:val="22"/>
          <w:lang w:eastAsia="en-US"/>
        </w:rPr>
      </w:pPr>
      <w:r w:rsidRPr="007D5E41">
        <w:rPr>
          <w:rFonts w:eastAsiaTheme="minorHAnsi"/>
          <w:color w:val="141414"/>
          <w:sz w:val="22"/>
          <w:szCs w:val="22"/>
          <w:lang w:eastAsia="en-US"/>
        </w:rPr>
        <w:t>•</w:t>
      </w:r>
      <w:r w:rsidRPr="007D5E41">
        <w:rPr>
          <w:rFonts w:eastAsiaTheme="minorHAnsi"/>
          <w:color w:val="141414"/>
          <w:sz w:val="22"/>
          <w:szCs w:val="22"/>
          <w:lang w:eastAsia="en-US"/>
        </w:rPr>
        <w:tab/>
        <w:t xml:space="preserve"> 2 Punti per oscillazione della tensione di +/- 0,003% per variazioni di rete di +/- 1%;</w:t>
      </w:r>
    </w:p>
    <w:p w:rsidR="00654EDF" w:rsidRPr="007D5E41" w:rsidRDefault="00654EDF" w:rsidP="007D5E41">
      <w:pPr>
        <w:autoSpaceDE w:val="0"/>
        <w:autoSpaceDN w:val="0"/>
        <w:adjustRightInd w:val="0"/>
        <w:ind w:left="426"/>
        <w:jc w:val="both"/>
        <w:rPr>
          <w:rFonts w:eastAsiaTheme="minorHAnsi"/>
          <w:color w:val="141414"/>
          <w:sz w:val="22"/>
          <w:szCs w:val="22"/>
          <w:lang w:eastAsia="en-US"/>
        </w:rPr>
      </w:pPr>
      <w:r w:rsidRPr="007D5E41">
        <w:rPr>
          <w:rFonts w:eastAsiaTheme="minorHAnsi"/>
          <w:color w:val="141414"/>
          <w:sz w:val="22"/>
          <w:szCs w:val="22"/>
          <w:lang w:eastAsia="en-US"/>
        </w:rPr>
        <w:t>•</w:t>
      </w:r>
      <w:r w:rsidRPr="007D5E41">
        <w:rPr>
          <w:rFonts w:eastAsiaTheme="minorHAnsi"/>
          <w:color w:val="141414"/>
          <w:sz w:val="22"/>
          <w:szCs w:val="22"/>
          <w:lang w:eastAsia="en-US"/>
        </w:rPr>
        <w:tab/>
        <w:t xml:space="preserve"> 3 Punti per oscillazione della tensione di +/- 0,002% per variazioni di rete di +/- 1%;</w:t>
      </w:r>
    </w:p>
    <w:p w:rsidR="00654EDF" w:rsidRPr="007D5E41" w:rsidRDefault="00654EDF" w:rsidP="007D5E41">
      <w:pPr>
        <w:autoSpaceDE w:val="0"/>
        <w:autoSpaceDN w:val="0"/>
        <w:adjustRightInd w:val="0"/>
        <w:ind w:left="426"/>
        <w:jc w:val="both"/>
        <w:rPr>
          <w:rFonts w:eastAsiaTheme="minorHAnsi"/>
          <w:color w:val="141414"/>
          <w:sz w:val="22"/>
          <w:szCs w:val="22"/>
          <w:lang w:eastAsia="en-US"/>
        </w:rPr>
      </w:pPr>
      <w:r w:rsidRPr="007D5E41">
        <w:rPr>
          <w:rFonts w:eastAsiaTheme="minorHAnsi"/>
          <w:color w:val="141414"/>
          <w:sz w:val="22"/>
          <w:szCs w:val="22"/>
          <w:lang w:eastAsia="en-US"/>
        </w:rPr>
        <w:t>•</w:t>
      </w:r>
      <w:r w:rsidRPr="007D5E41">
        <w:rPr>
          <w:rFonts w:eastAsiaTheme="minorHAnsi"/>
          <w:color w:val="141414"/>
          <w:sz w:val="22"/>
          <w:szCs w:val="22"/>
          <w:lang w:eastAsia="en-US"/>
        </w:rPr>
        <w:tab/>
        <w:t xml:space="preserve"> 4 Punti per oscillazione della tensione di +/- 0,001% per variazioni di rete di +/- 1%;</w:t>
      </w:r>
    </w:p>
    <w:p w:rsidR="00654EDF" w:rsidRPr="007D5E41" w:rsidRDefault="00654EDF" w:rsidP="007D5E41">
      <w:pPr>
        <w:autoSpaceDE w:val="0"/>
        <w:autoSpaceDN w:val="0"/>
        <w:adjustRightInd w:val="0"/>
        <w:ind w:left="426"/>
        <w:jc w:val="both"/>
        <w:rPr>
          <w:rFonts w:eastAsiaTheme="minorHAnsi"/>
          <w:color w:val="141414"/>
          <w:sz w:val="22"/>
          <w:szCs w:val="22"/>
          <w:lang w:eastAsia="en-US"/>
        </w:rPr>
      </w:pPr>
      <w:r w:rsidRPr="007D5E41">
        <w:rPr>
          <w:rFonts w:eastAsiaTheme="minorHAnsi"/>
          <w:color w:val="141414"/>
          <w:sz w:val="22"/>
          <w:szCs w:val="22"/>
          <w:lang w:eastAsia="en-US"/>
        </w:rPr>
        <w:t>•</w:t>
      </w:r>
      <w:r w:rsidRPr="007D5E41">
        <w:rPr>
          <w:rFonts w:eastAsiaTheme="minorHAnsi"/>
          <w:color w:val="141414"/>
          <w:sz w:val="22"/>
          <w:szCs w:val="22"/>
          <w:lang w:eastAsia="en-US"/>
        </w:rPr>
        <w:tab/>
        <w:t xml:space="preserve"> 6 Punti per oscillazione della tensione di +/- 0,00005% per variazioni di rete di +/- 1%.</w:t>
      </w:r>
    </w:p>
    <w:p w:rsidR="00DA46A8" w:rsidRPr="00CA0195"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CA0195">
        <w:rPr>
          <w:rFonts w:eastAsiaTheme="minorHAnsi"/>
          <w:color w:val="141414"/>
          <w:sz w:val="22"/>
          <w:szCs w:val="22"/>
          <w:lang w:eastAsia="en-US"/>
        </w:rPr>
        <w:t>INTENSITA’ RADIAZIONE X (</w:t>
      </w:r>
      <w:r w:rsidR="00217C13" w:rsidRPr="00E948AB">
        <w:rPr>
          <w:rFonts w:eastAsiaTheme="minorHAnsi"/>
          <w:color w:val="141414"/>
          <w:sz w:val="22"/>
          <w:szCs w:val="22"/>
          <w:lang w:eastAsia="en-US"/>
        </w:rPr>
        <w:t>Max</w:t>
      </w:r>
      <w:r w:rsidR="00217C13" w:rsidRPr="00CA0195">
        <w:rPr>
          <w:rFonts w:eastAsiaTheme="minorHAnsi"/>
          <w:color w:val="141414"/>
          <w:sz w:val="22"/>
          <w:szCs w:val="22"/>
          <w:lang w:eastAsia="en-US"/>
        </w:rPr>
        <w:t xml:space="preserve"> </w:t>
      </w:r>
      <w:r w:rsidRPr="00CA0195">
        <w:rPr>
          <w:rFonts w:eastAsiaTheme="minorHAnsi"/>
          <w:color w:val="141414"/>
          <w:sz w:val="22"/>
          <w:szCs w:val="22"/>
          <w:lang w:eastAsia="en-US"/>
        </w:rPr>
        <w:t>3 Punti): saranno attribuiti 3 Punti all’offerta che, tra tutte quelle valutate, prevederà il migliore coefficiente di proporzionalità fra l’emissione dei fotoni e la corrente applicata al tubo della sorgente dei raggi x, nel rispetto dei termini di cui all’Art. 1, comma 1.2, lettera g)</w:t>
      </w:r>
      <w:r w:rsidR="00DA46A8" w:rsidRPr="00CA0195">
        <w:rPr>
          <w:rFonts w:eastAsiaTheme="minorHAnsi"/>
          <w:color w:val="141414"/>
          <w:sz w:val="22"/>
          <w:szCs w:val="22"/>
          <w:lang w:eastAsia="en-US"/>
        </w:rPr>
        <w:t>;</w:t>
      </w:r>
    </w:p>
    <w:p w:rsidR="00654EDF" w:rsidRPr="00DA46A8"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DA46A8">
        <w:rPr>
          <w:rFonts w:eastAsiaTheme="minorHAnsi"/>
          <w:color w:val="141414"/>
          <w:sz w:val="22"/>
          <w:szCs w:val="22"/>
          <w:lang w:eastAsia="en-US"/>
        </w:rPr>
        <w:t>INTENSITA’ DELLA CORRENTE DEL TUBO DEI RAGGI X (IC) (</w:t>
      </w:r>
      <w:r w:rsidR="00217C13" w:rsidRPr="00E948AB">
        <w:rPr>
          <w:rFonts w:eastAsiaTheme="minorHAnsi"/>
          <w:color w:val="141414"/>
          <w:sz w:val="22"/>
          <w:szCs w:val="22"/>
          <w:lang w:eastAsia="en-US"/>
        </w:rPr>
        <w:t>Max</w:t>
      </w:r>
      <w:r w:rsidR="00217C13" w:rsidRPr="00DA46A8">
        <w:rPr>
          <w:rFonts w:eastAsiaTheme="minorHAnsi"/>
          <w:color w:val="141414"/>
          <w:sz w:val="22"/>
          <w:szCs w:val="22"/>
          <w:lang w:eastAsia="en-US"/>
        </w:rPr>
        <w:t xml:space="preserve"> </w:t>
      </w:r>
      <w:r w:rsidRPr="00DA46A8">
        <w:rPr>
          <w:rFonts w:eastAsiaTheme="minorHAnsi"/>
          <w:color w:val="141414"/>
          <w:sz w:val="22"/>
          <w:szCs w:val="22"/>
          <w:lang w:eastAsia="en-US"/>
        </w:rPr>
        <w:t>10 Punti): alle offerte che prevedono una corrente di esercizio del filamento migliore rispetto al valore di corrente minima di cui all’Art. 1, comma 1.2, lettera g), saranno assegnati massimo 10 punti secondo la seguente gradualità:</w:t>
      </w:r>
    </w:p>
    <w:p w:rsidR="00654EDF" w:rsidRPr="00DA46A8" w:rsidRDefault="00654EDF" w:rsidP="00DA46A8">
      <w:pPr>
        <w:autoSpaceDE w:val="0"/>
        <w:autoSpaceDN w:val="0"/>
        <w:adjustRightInd w:val="0"/>
        <w:ind w:left="709" w:hanging="283"/>
        <w:jc w:val="both"/>
        <w:rPr>
          <w:rFonts w:eastAsiaTheme="minorHAnsi"/>
          <w:color w:val="141414"/>
          <w:sz w:val="22"/>
          <w:szCs w:val="22"/>
          <w:lang w:eastAsia="en-US"/>
        </w:rPr>
      </w:pPr>
      <w:r w:rsidRPr="00DA46A8">
        <w:rPr>
          <w:rFonts w:eastAsiaTheme="minorHAnsi"/>
          <w:color w:val="141414"/>
          <w:sz w:val="22"/>
          <w:szCs w:val="22"/>
          <w:lang w:eastAsia="en-US"/>
        </w:rPr>
        <w:t>•</w:t>
      </w:r>
      <w:r w:rsidRPr="00DA46A8">
        <w:rPr>
          <w:rFonts w:eastAsiaTheme="minorHAnsi"/>
          <w:color w:val="141414"/>
          <w:sz w:val="22"/>
          <w:szCs w:val="22"/>
          <w:lang w:eastAsia="en-US"/>
        </w:rPr>
        <w:tab/>
        <w:t xml:space="preserve"> 3 Punti per una corrente di esercizio del filamento inclusa nel seguente </w:t>
      </w:r>
      <w:proofErr w:type="spellStart"/>
      <w:proofErr w:type="gramStart"/>
      <w:r w:rsidRPr="00DA46A8">
        <w:rPr>
          <w:rFonts w:eastAsiaTheme="minorHAnsi"/>
          <w:color w:val="141414"/>
          <w:sz w:val="22"/>
          <w:szCs w:val="22"/>
          <w:lang w:eastAsia="en-US"/>
        </w:rPr>
        <w:t>range</w:t>
      </w:r>
      <w:proofErr w:type="spellEnd"/>
      <w:r w:rsidRPr="00DA46A8">
        <w:rPr>
          <w:rFonts w:eastAsiaTheme="minorHAnsi"/>
          <w:color w:val="141414"/>
          <w:sz w:val="22"/>
          <w:szCs w:val="22"/>
          <w:lang w:eastAsia="en-US"/>
        </w:rPr>
        <w:t xml:space="preserve">:   </w:t>
      </w:r>
      <w:proofErr w:type="gramEnd"/>
      <w:r w:rsidRPr="00DA46A8">
        <w:rPr>
          <w:rFonts w:eastAsiaTheme="minorHAnsi"/>
          <w:color w:val="141414"/>
          <w:sz w:val="22"/>
          <w:szCs w:val="22"/>
          <w:lang w:eastAsia="en-US"/>
        </w:rPr>
        <w:t xml:space="preserve">150 </w:t>
      </w:r>
      <w:proofErr w:type="spellStart"/>
      <w:r w:rsidRPr="00DA46A8">
        <w:rPr>
          <w:rFonts w:eastAsiaTheme="minorHAnsi"/>
          <w:color w:val="141414"/>
          <w:sz w:val="22"/>
          <w:szCs w:val="22"/>
          <w:lang w:eastAsia="en-US"/>
        </w:rPr>
        <w:t>mA</w:t>
      </w:r>
      <w:proofErr w:type="spellEnd"/>
      <w:r w:rsidRPr="00DA46A8">
        <w:rPr>
          <w:rFonts w:eastAsiaTheme="minorHAnsi"/>
          <w:color w:val="141414"/>
          <w:sz w:val="22"/>
          <w:szCs w:val="22"/>
          <w:lang w:eastAsia="en-US"/>
        </w:rPr>
        <w:t xml:space="preserve"> &lt; IC &lt; 155 </w:t>
      </w:r>
      <w:proofErr w:type="spellStart"/>
      <w:r w:rsidRPr="00DA46A8">
        <w:rPr>
          <w:rFonts w:eastAsiaTheme="minorHAnsi"/>
          <w:color w:val="141414"/>
          <w:sz w:val="22"/>
          <w:szCs w:val="22"/>
          <w:lang w:eastAsia="en-US"/>
        </w:rPr>
        <w:t>mA</w:t>
      </w:r>
      <w:proofErr w:type="spellEnd"/>
      <w:r w:rsidRPr="00DA46A8">
        <w:rPr>
          <w:rFonts w:eastAsiaTheme="minorHAnsi"/>
          <w:color w:val="141414"/>
          <w:sz w:val="22"/>
          <w:szCs w:val="22"/>
          <w:lang w:eastAsia="en-US"/>
        </w:rPr>
        <w:t>;</w:t>
      </w:r>
    </w:p>
    <w:p w:rsidR="00654EDF" w:rsidRPr="00DA46A8" w:rsidRDefault="00654EDF" w:rsidP="00DA46A8">
      <w:pPr>
        <w:autoSpaceDE w:val="0"/>
        <w:autoSpaceDN w:val="0"/>
        <w:adjustRightInd w:val="0"/>
        <w:ind w:left="709" w:hanging="283"/>
        <w:jc w:val="both"/>
        <w:rPr>
          <w:rFonts w:eastAsiaTheme="minorHAnsi"/>
          <w:color w:val="141414"/>
          <w:sz w:val="22"/>
          <w:szCs w:val="22"/>
          <w:lang w:eastAsia="en-US"/>
        </w:rPr>
      </w:pPr>
      <w:r w:rsidRPr="00DA46A8">
        <w:rPr>
          <w:rFonts w:eastAsiaTheme="minorHAnsi"/>
          <w:color w:val="141414"/>
          <w:sz w:val="22"/>
          <w:szCs w:val="22"/>
          <w:lang w:eastAsia="en-US"/>
        </w:rPr>
        <w:t>•</w:t>
      </w:r>
      <w:r w:rsidRPr="00DA46A8">
        <w:rPr>
          <w:rFonts w:eastAsiaTheme="minorHAnsi"/>
          <w:color w:val="141414"/>
          <w:sz w:val="22"/>
          <w:szCs w:val="22"/>
          <w:lang w:eastAsia="en-US"/>
        </w:rPr>
        <w:tab/>
        <w:t xml:space="preserve"> 6 Punti per una corrente di esercizio del filamento inclusa nel seguente </w:t>
      </w:r>
      <w:proofErr w:type="spellStart"/>
      <w:proofErr w:type="gramStart"/>
      <w:r w:rsidRPr="00DA46A8">
        <w:rPr>
          <w:rFonts w:eastAsiaTheme="minorHAnsi"/>
          <w:color w:val="141414"/>
          <w:sz w:val="22"/>
          <w:szCs w:val="22"/>
          <w:lang w:eastAsia="en-US"/>
        </w:rPr>
        <w:t>range</w:t>
      </w:r>
      <w:proofErr w:type="spellEnd"/>
      <w:r w:rsidRPr="00DA46A8">
        <w:rPr>
          <w:rFonts w:eastAsiaTheme="minorHAnsi"/>
          <w:color w:val="141414"/>
          <w:sz w:val="22"/>
          <w:szCs w:val="22"/>
          <w:lang w:eastAsia="en-US"/>
        </w:rPr>
        <w:t xml:space="preserve">:   </w:t>
      </w:r>
      <w:proofErr w:type="gramEnd"/>
      <w:r w:rsidRPr="00DA46A8">
        <w:rPr>
          <w:rFonts w:eastAsiaTheme="minorHAnsi"/>
          <w:color w:val="141414"/>
          <w:sz w:val="22"/>
          <w:szCs w:val="22"/>
          <w:lang w:eastAsia="en-US"/>
        </w:rPr>
        <w:t xml:space="preserve">155 </w:t>
      </w:r>
      <w:proofErr w:type="spellStart"/>
      <w:r w:rsidRPr="00DA46A8">
        <w:rPr>
          <w:rFonts w:eastAsiaTheme="minorHAnsi"/>
          <w:color w:val="141414"/>
          <w:sz w:val="22"/>
          <w:szCs w:val="22"/>
          <w:lang w:eastAsia="en-US"/>
        </w:rPr>
        <w:t>mA</w:t>
      </w:r>
      <w:proofErr w:type="spellEnd"/>
      <w:r w:rsidRPr="00DA46A8">
        <w:rPr>
          <w:rFonts w:eastAsiaTheme="minorHAnsi"/>
          <w:color w:val="141414"/>
          <w:sz w:val="22"/>
          <w:szCs w:val="22"/>
          <w:lang w:eastAsia="en-US"/>
        </w:rPr>
        <w:t xml:space="preserve"> &lt; IC &lt; 160 </w:t>
      </w:r>
      <w:proofErr w:type="spellStart"/>
      <w:r w:rsidRPr="00DA46A8">
        <w:rPr>
          <w:rFonts w:eastAsiaTheme="minorHAnsi"/>
          <w:color w:val="141414"/>
          <w:sz w:val="22"/>
          <w:szCs w:val="22"/>
          <w:lang w:eastAsia="en-US"/>
        </w:rPr>
        <w:t>mA</w:t>
      </w:r>
      <w:proofErr w:type="spellEnd"/>
      <w:r w:rsidRPr="00DA46A8">
        <w:rPr>
          <w:rFonts w:eastAsiaTheme="minorHAnsi"/>
          <w:color w:val="141414"/>
          <w:sz w:val="22"/>
          <w:szCs w:val="22"/>
          <w:lang w:eastAsia="en-US"/>
        </w:rPr>
        <w:t>;</w:t>
      </w:r>
    </w:p>
    <w:p w:rsidR="00BB6BDB" w:rsidRDefault="00654EDF" w:rsidP="00BB6BDB">
      <w:pPr>
        <w:autoSpaceDE w:val="0"/>
        <w:autoSpaceDN w:val="0"/>
        <w:adjustRightInd w:val="0"/>
        <w:ind w:left="709" w:hanging="283"/>
        <w:jc w:val="both"/>
        <w:rPr>
          <w:rFonts w:eastAsiaTheme="minorHAnsi"/>
          <w:color w:val="141414"/>
          <w:sz w:val="22"/>
          <w:szCs w:val="22"/>
          <w:lang w:eastAsia="en-US"/>
        </w:rPr>
      </w:pPr>
      <w:r w:rsidRPr="00DA46A8">
        <w:rPr>
          <w:rFonts w:eastAsiaTheme="minorHAnsi"/>
          <w:color w:val="141414"/>
          <w:sz w:val="22"/>
          <w:szCs w:val="22"/>
          <w:lang w:eastAsia="en-US"/>
        </w:rPr>
        <w:t>•</w:t>
      </w:r>
      <w:r w:rsidRPr="00DA46A8">
        <w:rPr>
          <w:rFonts w:eastAsiaTheme="minorHAnsi"/>
          <w:color w:val="141414"/>
          <w:sz w:val="22"/>
          <w:szCs w:val="22"/>
          <w:lang w:eastAsia="en-US"/>
        </w:rPr>
        <w:tab/>
        <w:t xml:space="preserve"> 10 Punti per una corrente di esercizio del filamento inclusa ne</w:t>
      </w:r>
      <w:r w:rsidR="00BB6BDB">
        <w:rPr>
          <w:rFonts w:eastAsiaTheme="minorHAnsi"/>
          <w:color w:val="141414"/>
          <w:sz w:val="22"/>
          <w:szCs w:val="22"/>
          <w:lang w:eastAsia="en-US"/>
        </w:rPr>
        <w:t xml:space="preserve">l seguente </w:t>
      </w:r>
      <w:proofErr w:type="spellStart"/>
      <w:proofErr w:type="gramStart"/>
      <w:r w:rsidR="00BB6BDB">
        <w:rPr>
          <w:rFonts w:eastAsiaTheme="minorHAnsi"/>
          <w:color w:val="141414"/>
          <w:sz w:val="22"/>
          <w:szCs w:val="22"/>
          <w:lang w:eastAsia="en-US"/>
        </w:rPr>
        <w:t>range</w:t>
      </w:r>
      <w:proofErr w:type="spellEnd"/>
      <w:r w:rsidR="00BB6BDB">
        <w:rPr>
          <w:rFonts w:eastAsiaTheme="minorHAnsi"/>
          <w:color w:val="141414"/>
          <w:sz w:val="22"/>
          <w:szCs w:val="22"/>
          <w:lang w:eastAsia="en-US"/>
        </w:rPr>
        <w:t xml:space="preserve">:   </w:t>
      </w:r>
      <w:proofErr w:type="gramEnd"/>
      <w:r w:rsidR="00BB6BDB">
        <w:rPr>
          <w:rFonts w:eastAsiaTheme="minorHAnsi"/>
          <w:color w:val="141414"/>
          <w:sz w:val="22"/>
          <w:szCs w:val="22"/>
          <w:lang w:eastAsia="en-US"/>
        </w:rPr>
        <w:t xml:space="preserve">IC &gt;160 </w:t>
      </w:r>
      <w:proofErr w:type="spellStart"/>
      <w:r w:rsidR="00BB6BDB">
        <w:rPr>
          <w:rFonts w:eastAsiaTheme="minorHAnsi"/>
          <w:color w:val="141414"/>
          <w:sz w:val="22"/>
          <w:szCs w:val="22"/>
          <w:lang w:eastAsia="en-US"/>
        </w:rPr>
        <w:t>mA</w:t>
      </w:r>
      <w:proofErr w:type="spellEnd"/>
      <w:r w:rsidR="00BB6BDB">
        <w:rPr>
          <w:rFonts w:eastAsiaTheme="minorHAnsi"/>
          <w:color w:val="141414"/>
          <w:sz w:val="22"/>
          <w:szCs w:val="22"/>
          <w:lang w:eastAsia="en-US"/>
        </w:rPr>
        <w:t>.</w:t>
      </w:r>
    </w:p>
    <w:p w:rsidR="005A22EE"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BB6BDB">
        <w:rPr>
          <w:rFonts w:eastAsiaTheme="minorHAnsi"/>
          <w:color w:val="141414"/>
          <w:sz w:val="22"/>
          <w:szCs w:val="22"/>
          <w:lang w:eastAsia="en-US"/>
        </w:rPr>
        <w:t>SOFTWARE ACQUISIZIONE E ELABORAZIONE DATI XRF (</w:t>
      </w:r>
      <w:r w:rsidR="00217C13" w:rsidRPr="00E948AB">
        <w:rPr>
          <w:rFonts w:eastAsiaTheme="minorHAnsi"/>
          <w:color w:val="141414"/>
          <w:sz w:val="22"/>
          <w:szCs w:val="22"/>
          <w:lang w:eastAsia="en-US"/>
        </w:rPr>
        <w:t>Max</w:t>
      </w:r>
      <w:r w:rsidR="00217C13" w:rsidRPr="00BB6BDB">
        <w:rPr>
          <w:rFonts w:eastAsiaTheme="minorHAnsi"/>
          <w:color w:val="141414"/>
          <w:sz w:val="22"/>
          <w:szCs w:val="22"/>
          <w:lang w:eastAsia="en-US"/>
        </w:rPr>
        <w:t xml:space="preserve"> </w:t>
      </w:r>
      <w:r w:rsidRPr="00BB6BDB">
        <w:rPr>
          <w:rFonts w:eastAsiaTheme="minorHAnsi"/>
          <w:color w:val="141414"/>
          <w:sz w:val="22"/>
          <w:szCs w:val="22"/>
          <w:lang w:eastAsia="en-US"/>
        </w:rPr>
        <w:t>8 Punti): verranno attribuiti 8 Punti alle offerte che prevedono un software di cui all’Art. 1, comma 1.2, lettera i);</w:t>
      </w:r>
    </w:p>
    <w:p w:rsidR="00654EDF" w:rsidRPr="005A22EE"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5A22EE">
        <w:rPr>
          <w:rFonts w:eastAsiaTheme="minorHAnsi"/>
          <w:color w:val="141414"/>
          <w:sz w:val="22"/>
          <w:szCs w:val="22"/>
          <w:lang w:eastAsia="en-US"/>
        </w:rPr>
        <w:t>PORTACAMPIONI (Max 9 Punti): alle offerte che prevedono un numero di portacampioni monouso per solidi (lamine, polveri, pasticche e perle) e liquidi superiore al valore prescritto all’Art. 1, comma 1.2, lettera j) verranno attribuiti massimo 9 Punti secondo la seguente gradualità:</w:t>
      </w:r>
    </w:p>
    <w:p w:rsidR="00654EDF" w:rsidRPr="005A22EE" w:rsidRDefault="00654EDF" w:rsidP="005A22EE">
      <w:pPr>
        <w:autoSpaceDE w:val="0"/>
        <w:autoSpaceDN w:val="0"/>
        <w:adjustRightInd w:val="0"/>
        <w:ind w:left="709" w:hanging="283"/>
        <w:jc w:val="both"/>
        <w:rPr>
          <w:rFonts w:eastAsiaTheme="minorHAnsi"/>
          <w:color w:val="141414"/>
          <w:sz w:val="22"/>
          <w:szCs w:val="22"/>
          <w:lang w:eastAsia="en-US"/>
        </w:rPr>
      </w:pPr>
      <w:r w:rsidRPr="005A22EE">
        <w:rPr>
          <w:rFonts w:eastAsiaTheme="minorHAnsi"/>
          <w:color w:val="141414"/>
          <w:sz w:val="22"/>
          <w:szCs w:val="22"/>
          <w:lang w:eastAsia="en-US"/>
        </w:rPr>
        <w:t>•</w:t>
      </w:r>
      <w:r w:rsidRPr="005A22EE">
        <w:rPr>
          <w:rFonts w:eastAsiaTheme="minorHAnsi"/>
          <w:color w:val="141414"/>
          <w:sz w:val="22"/>
          <w:szCs w:val="22"/>
          <w:lang w:eastAsia="en-US"/>
        </w:rPr>
        <w:tab/>
        <w:t xml:space="preserve"> 3 Punti </w:t>
      </w:r>
      <w:proofErr w:type="gramStart"/>
      <w:r w:rsidRPr="005A22EE">
        <w:rPr>
          <w:rFonts w:eastAsiaTheme="minorHAnsi"/>
          <w:color w:val="141414"/>
          <w:sz w:val="22"/>
          <w:szCs w:val="22"/>
          <w:lang w:eastAsia="en-US"/>
        </w:rPr>
        <w:t>per  la</w:t>
      </w:r>
      <w:proofErr w:type="gramEnd"/>
      <w:r w:rsidRPr="005A22EE">
        <w:rPr>
          <w:rFonts w:eastAsiaTheme="minorHAnsi"/>
          <w:color w:val="141414"/>
          <w:sz w:val="22"/>
          <w:szCs w:val="22"/>
          <w:lang w:eastAsia="en-US"/>
        </w:rPr>
        <w:t xml:space="preserve"> fornitura di porta campioni monouso pari a 300 unità;</w:t>
      </w:r>
    </w:p>
    <w:p w:rsidR="00654EDF" w:rsidRPr="005A22EE" w:rsidRDefault="00654EDF" w:rsidP="005A22EE">
      <w:pPr>
        <w:autoSpaceDE w:val="0"/>
        <w:autoSpaceDN w:val="0"/>
        <w:adjustRightInd w:val="0"/>
        <w:ind w:left="709" w:hanging="283"/>
        <w:jc w:val="both"/>
        <w:rPr>
          <w:rFonts w:eastAsiaTheme="minorHAnsi"/>
          <w:color w:val="141414"/>
          <w:sz w:val="22"/>
          <w:szCs w:val="22"/>
          <w:lang w:eastAsia="en-US"/>
        </w:rPr>
      </w:pPr>
      <w:r w:rsidRPr="005A22EE">
        <w:rPr>
          <w:rFonts w:eastAsiaTheme="minorHAnsi"/>
          <w:color w:val="141414"/>
          <w:sz w:val="22"/>
          <w:szCs w:val="22"/>
          <w:lang w:eastAsia="en-US"/>
        </w:rPr>
        <w:t>•</w:t>
      </w:r>
      <w:r w:rsidRPr="005A22EE">
        <w:rPr>
          <w:rFonts w:eastAsiaTheme="minorHAnsi"/>
          <w:color w:val="141414"/>
          <w:sz w:val="22"/>
          <w:szCs w:val="22"/>
          <w:lang w:eastAsia="en-US"/>
        </w:rPr>
        <w:tab/>
        <w:t xml:space="preserve"> 5 Punti </w:t>
      </w:r>
      <w:proofErr w:type="gramStart"/>
      <w:r w:rsidRPr="005A22EE">
        <w:rPr>
          <w:rFonts w:eastAsiaTheme="minorHAnsi"/>
          <w:color w:val="141414"/>
          <w:sz w:val="22"/>
          <w:szCs w:val="22"/>
          <w:lang w:eastAsia="en-US"/>
        </w:rPr>
        <w:t>per  la</w:t>
      </w:r>
      <w:proofErr w:type="gramEnd"/>
      <w:r w:rsidRPr="005A22EE">
        <w:rPr>
          <w:rFonts w:eastAsiaTheme="minorHAnsi"/>
          <w:color w:val="141414"/>
          <w:sz w:val="22"/>
          <w:szCs w:val="22"/>
          <w:lang w:eastAsia="en-US"/>
        </w:rPr>
        <w:t xml:space="preserve"> fornitura di porta campioni monouso superiore a 400 unità;</w:t>
      </w:r>
    </w:p>
    <w:p w:rsidR="00654EDF" w:rsidRPr="005A22EE" w:rsidRDefault="00654EDF" w:rsidP="005A22EE">
      <w:pPr>
        <w:autoSpaceDE w:val="0"/>
        <w:autoSpaceDN w:val="0"/>
        <w:adjustRightInd w:val="0"/>
        <w:ind w:left="709" w:hanging="283"/>
        <w:jc w:val="both"/>
        <w:rPr>
          <w:rFonts w:eastAsiaTheme="minorHAnsi"/>
          <w:color w:val="141414"/>
          <w:sz w:val="22"/>
          <w:szCs w:val="22"/>
          <w:lang w:eastAsia="en-US"/>
        </w:rPr>
      </w:pPr>
      <w:r w:rsidRPr="005A22EE">
        <w:rPr>
          <w:rFonts w:eastAsiaTheme="minorHAnsi"/>
          <w:color w:val="141414"/>
          <w:sz w:val="22"/>
          <w:szCs w:val="22"/>
          <w:lang w:eastAsia="en-US"/>
        </w:rPr>
        <w:t>•</w:t>
      </w:r>
      <w:r w:rsidRPr="005A22EE">
        <w:rPr>
          <w:rFonts w:eastAsiaTheme="minorHAnsi"/>
          <w:color w:val="141414"/>
          <w:sz w:val="22"/>
          <w:szCs w:val="22"/>
          <w:lang w:eastAsia="en-US"/>
        </w:rPr>
        <w:tab/>
        <w:t xml:space="preserve"> 1 Punti per la strumentazione che prevede anche la possibilità </w:t>
      </w:r>
      <w:proofErr w:type="gramStart"/>
      <w:r w:rsidRPr="005A22EE">
        <w:rPr>
          <w:rFonts w:eastAsiaTheme="minorHAnsi"/>
          <w:color w:val="141414"/>
          <w:sz w:val="22"/>
          <w:szCs w:val="22"/>
          <w:lang w:eastAsia="en-US"/>
        </w:rPr>
        <w:t>di  utilizzare</w:t>
      </w:r>
      <w:proofErr w:type="gramEnd"/>
      <w:r w:rsidRPr="005A22EE">
        <w:rPr>
          <w:rFonts w:eastAsiaTheme="minorHAnsi"/>
          <w:color w:val="141414"/>
          <w:sz w:val="22"/>
          <w:szCs w:val="22"/>
          <w:lang w:eastAsia="en-US"/>
        </w:rPr>
        <w:t xml:space="preserve"> maschere dalla minore dimensione possibile sulla sorgente di raggi X, a limitazione dell’area di analisi di campioni in bassa quantità,</w:t>
      </w:r>
    </w:p>
    <w:p w:rsidR="00654EDF" w:rsidRPr="005A22EE" w:rsidRDefault="00654EDF" w:rsidP="005A22EE">
      <w:pPr>
        <w:autoSpaceDE w:val="0"/>
        <w:autoSpaceDN w:val="0"/>
        <w:adjustRightInd w:val="0"/>
        <w:ind w:left="709" w:hanging="283"/>
        <w:jc w:val="both"/>
        <w:rPr>
          <w:rFonts w:eastAsiaTheme="minorHAnsi"/>
          <w:color w:val="141414"/>
          <w:sz w:val="22"/>
          <w:szCs w:val="22"/>
          <w:lang w:eastAsia="en-US"/>
        </w:rPr>
      </w:pPr>
      <w:r w:rsidRPr="005A22EE">
        <w:rPr>
          <w:rFonts w:eastAsiaTheme="minorHAnsi"/>
          <w:color w:val="141414"/>
          <w:sz w:val="22"/>
          <w:szCs w:val="22"/>
          <w:lang w:eastAsia="en-US"/>
        </w:rPr>
        <w:t>•</w:t>
      </w:r>
      <w:r w:rsidRPr="005A22EE">
        <w:rPr>
          <w:rFonts w:eastAsiaTheme="minorHAnsi"/>
          <w:color w:val="141414"/>
          <w:sz w:val="22"/>
          <w:szCs w:val="22"/>
          <w:lang w:eastAsia="en-US"/>
        </w:rPr>
        <w:tab/>
        <w:t xml:space="preserve"> 3 Punti la strumentazione che può essere implementata con la maschera di minori dimensioni;     </w:t>
      </w:r>
    </w:p>
    <w:p w:rsidR="00E948AB"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E948AB">
        <w:rPr>
          <w:rFonts w:eastAsiaTheme="minorHAnsi"/>
          <w:color w:val="141414"/>
          <w:sz w:val="22"/>
          <w:szCs w:val="22"/>
          <w:lang w:eastAsia="en-US"/>
        </w:rPr>
        <w:t>FINESTRA TUBO RAGGI X (</w:t>
      </w:r>
      <w:r w:rsidR="00217C13" w:rsidRPr="00E948AB">
        <w:rPr>
          <w:rFonts w:eastAsiaTheme="minorHAnsi"/>
          <w:color w:val="141414"/>
          <w:sz w:val="22"/>
          <w:szCs w:val="22"/>
          <w:lang w:eastAsia="en-US"/>
        </w:rPr>
        <w:t xml:space="preserve">Max </w:t>
      </w:r>
      <w:r w:rsidRPr="00E948AB">
        <w:rPr>
          <w:rFonts w:eastAsiaTheme="minorHAnsi"/>
          <w:color w:val="141414"/>
          <w:sz w:val="22"/>
          <w:szCs w:val="22"/>
          <w:lang w:eastAsia="en-US"/>
        </w:rPr>
        <w:t>12 Punti): saranno attribuiti 12 Punti all’offerta che, tra tutte quelle valutate, prevederà il valore minore nel rapporto tra spessore della finestra e diametro della finestra, nel rispetto del valore di cui all’Art. 1, comma 1.2, lettera k);</w:t>
      </w:r>
    </w:p>
    <w:p w:rsidR="00E948AB"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E948AB">
        <w:rPr>
          <w:rFonts w:eastAsiaTheme="minorHAnsi"/>
          <w:color w:val="141414"/>
          <w:sz w:val="22"/>
          <w:szCs w:val="22"/>
          <w:lang w:eastAsia="en-US"/>
        </w:rPr>
        <w:t>Cristalli analizzatori (2 Punti): saranno attribuiti 2 Punti all’offerta che prevede la strumentazione per la quale è possibile avere dal produttore il numero maggiore di cristalli analizzatori, alla data di espletamento della Gara; all’Art. 1, comma 1.2, lettera o);</w:t>
      </w:r>
    </w:p>
    <w:p w:rsidR="00654EDF" w:rsidRPr="00E948AB"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E948AB">
        <w:rPr>
          <w:rFonts w:eastAsiaTheme="minorHAnsi"/>
          <w:color w:val="141414"/>
          <w:sz w:val="22"/>
          <w:szCs w:val="22"/>
          <w:lang w:eastAsia="en-US"/>
        </w:rPr>
        <w:t>AREA DI ATTESA ANALISI (</w:t>
      </w:r>
      <w:r w:rsidR="00217C13" w:rsidRPr="00E948AB">
        <w:rPr>
          <w:rFonts w:eastAsiaTheme="minorHAnsi"/>
          <w:color w:val="141414"/>
          <w:sz w:val="22"/>
          <w:szCs w:val="22"/>
          <w:lang w:eastAsia="en-US"/>
        </w:rPr>
        <w:t xml:space="preserve">Max </w:t>
      </w:r>
      <w:r w:rsidRPr="00E948AB">
        <w:rPr>
          <w:rFonts w:eastAsiaTheme="minorHAnsi"/>
          <w:color w:val="141414"/>
          <w:sz w:val="22"/>
          <w:szCs w:val="22"/>
          <w:lang w:eastAsia="en-US"/>
        </w:rPr>
        <w:t>8 Punti): alle offerte che prevedono un’area di attesa con un numero di postazioni di alloggiamento dei portacampioni superiore al valore prescritto all’Art. 1, comma 1.2, lettera p) verranno attribuiti massimo 8 Punti secondo la seguente gradualità:</w:t>
      </w:r>
    </w:p>
    <w:p w:rsidR="00654EDF" w:rsidRPr="00E948AB" w:rsidRDefault="00654EDF" w:rsidP="00E948AB">
      <w:pPr>
        <w:autoSpaceDE w:val="0"/>
        <w:autoSpaceDN w:val="0"/>
        <w:adjustRightInd w:val="0"/>
        <w:ind w:left="851" w:hanging="425"/>
        <w:jc w:val="both"/>
        <w:rPr>
          <w:rFonts w:eastAsiaTheme="minorHAnsi"/>
          <w:color w:val="141414"/>
          <w:sz w:val="22"/>
          <w:szCs w:val="22"/>
          <w:lang w:eastAsia="en-US"/>
        </w:rPr>
      </w:pPr>
      <w:r w:rsidRPr="00E948AB">
        <w:rPr>
          <w:rFonts w:eastAsiaTheme="minorHAnsi"/>
          <w:color w:val="141414"/>
          <w:sz w:val="22"/>
          <w:szCs w:val="22"/>
          <w:lang w:eastAsia="en-US"/>
        </w:rPr>
        <w:t>•</w:t>
      </w:r>
      <w:r w:rsidRPr="00E948AB">
        <w:rPr>
          <w:rFonts w:eastAsiaTheme="minorHAnsi"/>
          <w:color w:val="141414"/>
          <w:sz w:val="22"/>
          <w:szCs w:val="22"/>
          <w:lang w:eastAsia="en-US"/>
        </w:rPr>
        <w:tab/>
        <w:t xml:space="preserve"> 4 punti per area di attesa con minimo 50 posizioni;</w:t>
      </w:r>
    </w:p>
    <w:p w:rsidR="00E948AB" w:rsidRDefault="00654EDF" w:rsidP="00E948AB">
      <w:pPr>
        <w:autoSpaceDE w:val="0"/>
        <w:autoSpaceDN w:val="0"/>
        <w:adjustRightInd w:val="0"/>
        <w:ind w:left="851" w:hanging="425"/>
        <w:jc w:val="both"/>
        <w:rPr>
          <w:rFonts w:eastAsiaTheme="minorHAnsi"/>
          <w:color w:val="141414"/>
          <w:sz w:val="22"/>
          <w:szCs w:val="22"/>
          <w:lang w:eastAsia="en-US"/>
        </w:rPr>
      </w:pPr>
      <w:r w:rsidRPr="00E948AB">
        <w:rPr>
          <w:rFonts w:eastAsiaTheme="minorHAnsi"/>
          <w:color w:val="141414"/>
          <w:sz w:val="22"/>
          <w:szCs w:val="22"/>
          <w:lang w:eastAsia="en-US"/>
        </w:rPr>
        <w:t>•</w:t>
      </w:r>
      <w:r w:rsidRPr="00E948AB">
        <w:rPr>
          <w:rFonts w:eastAsiaTheme="minorHAnsi"/>
          <w:color w:val="141414"/>
          <w:sz w:val="22"/>
          <w:szCs w:val="22"/>
          <w:lang w:eastAsia="en-US"/>
        </w:rPr>
        <w:tab/>
        <w:t xml:space="preserve"> 8 punti per area di </w:t>
      </w:r>
      <w:r w:rsidR="00E948AB">
        <w:rPr>
          <w:rFonts w:eastAsiaTheme="minorHAnsi"/>
          <w:color w:val="141414"/>
          <w:sz w:val="22"/>
          <w:szCs w:val="22"/>
          <w:lang w:eastAsia="en-US"/>
        </w:rPr>
        <w:t>attesa con minimo 60 posizioni;</w:t>
      </w:r>
    </w:p>
    <w:p w:rsidR="00E948AB"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E948AB">
        <w:rPr>
          <w:rFonts w:eastAsiaTheme="minorHAnsi"/>
          <w:color w:val="141414"/>
          <w:sz w:val="22"/>
          <w:szCs w:val="22"/>
          <w:lang w:eastAsia="en-US"/>
        </w:rPr>
        <w:t>CRISTALLO ANALIZZATORE (</w:t>
      </w:r>
      <w:r w:rsidR="00217C13" w:rsidRPr="00E948AB">
        <w:rPr>
          <w:rFonts w:eastAsiaTheme="minorHAnsi"/>
          <w:color w:val="141414"/>
          <w:sz w:val="22"/>
          <w:szCs w:val="22"/>
          <w:lang w:eastAsia="en-US"/>
        </w:rPr>
        <w:t xml:space="preserve">Max </w:t>
      </w:r>
      <w:r w:rsidRPr="00E948AB">
        <w:rPr>
          <w:rFonts w:eastAsiaTheme="minorHAnsi"/>
          <w:color w:val="141414"/>
          <w:sz w:val="22"/>
          <w:szCs w:val="22"/>
          <w:lang w:eastAsia="en-US"/>
        </w:rPr>
        <w:t>10 Punti): saranno attribuiti 10 Punti all’offerta che, tra tutte quelle valutate, prevederà le migliori prestazioni del cristallo analizzatore ottimizzato per il carbonio di cui all’Art. 1, comma 1.2, lettera t);</w:t>
      </w:r>
    </w:p>
    <w:p w:rsidR="00E948AB"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E948AB">
        <w:rPr>
          <w:rFonts w:eastAsiaTheme="minorHAnsi"/>
          <w:color w:val="141414"/>
          <w:sz w:val="22"/>
          <w:szCs w:val="22"/>
          <w:lang w:eastAsia="en-US"/>
        </w:rPr>
        <w:t>IMPLEMENTAZIONE STRUMENTAZIONE CON MODULI AGGIUNTIVI MAPPING E MICRO-XRF (</w:t>
      </w:r>
      <w:r w:rsidR="00217C13" w:rsidRPr="00E948AB">
        <w:rPr>
          <w:rFonts w:eastAsiaTheme="minorHAnsi"/>
          <w:color w:val="141414"/>
          <w:sz w:val="22"/>
          <w:szCs w:val="22"/>
          <w:lang w:eastAsia="en-US"/>
        </w:rPr>
        <w:t xml:space="preserve">Max </w:t>
      </w:r>
      <w:r w:rsidRPr="00E948AB">
        <w:rPr>
          <w:rFonts w:eastAsiaTheme="minorHAnsi"/>
          <w:color w:val="141414"/>
          <w:sz w:val="22"/>
          <w:szCs w:val="22"/>
          <w:lang w:eastAsia="en-US"/>
        </w:rPr>
        <w:t>3 PUNTI): saranno attribuiti 3 Punti all’offerta che presenterà le miglior</w:t>
      </w:r>
      <w:r w:rsidR="00D028D0">
        <w:rPr>
          <w:rFonts w:eastAsiaTheme="minorHAnsi"/>
          <w:color w:val="141414"/>
          <w:sz w:val="22"/>
          <w:szCs w:val="22"/>
          <w:lang w:eastAsia="en-US"/>
        </w:rPr>
        <w:t>i</w:t>
      </w:r>
      <w:r w:rsidRPr="00E948AB">
        <w:rPr>
          <w:rFonts w:eastAsiaTheme="minorHAnsi"/>
          <w:color w:val="141414"/>
          <w:sz w:val="22"/>
          <w:szCs w:val="22"/>
          <w:lang w:eastAsia="en-US"/>
        </w:rPr>
        <w:t xml:space="preserve"> prestazioni dello strumento, in termini di tempi di analisi per volume di dati acquisiti, nelle misure di </w:t>
      </w:r>
      <w:proofErr w:type="spellStart"/>
      <w:r w:rsidRPr="00E948AB">
        <w:rPr>
          <w:rFonts w:eastAsiaTheme="minorHAnsi"/>
          <w:color w:val="141414"/>
          <w:sz w:val="22"/>
          <w:szCs w:val="22"/>
          <w:lang w:eastAsia="en-US"/>
        </w:rPr>
        <w:t>mapping</w:t>
      </w:r>
      <w:proofErr w:type="spellEnd"/>
      <w:r w:rsidRPr="00E948AB">
        <w:rPr>
          <w:rFonts w:eastAsiaTheme="minorHAnsi"/>
          <w:color w:val="141414"/>
          <w:sz w:val="22"/>
          <w:szCs w:val="22"/>
          <w:lang w:eastAsia="en-US"/>
        </w:rPr>
        <w:t xml:space="preserve"> e micro-XRF ottenute con l’implementazione dello stesso con moduli aggiuntivi, di cui all’Art. 1, comma 1.2, lettera u); </w:t>
      </w:r>
    </w:p>
    <w:p w:rsidR="00E948AB" w:rsidRDefault="00E948AB"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E948AB">
        <w:rPr>
          <w:rFonts w:eastAsiaTheme="minorHAnsi"/>
          <w:color w:val="141414"/>
          <w:sz w:val="22"/>
          <w:szCs w:val="22"/>
          <w:lang w:eastAsia="en-US"/>
        </w:rPr>
        <w:lastRenderedPageBreak/>
        <w:t>C</w:t>
      </w:r>
      <w:r w:rsidR="00654EDF" w:rsidRPr="00E948AB">
        <w:rPr>
          <w:rFonts w:eastAsiaTheme="minorHAnsi"/>
          <w:color w:val="141414"/>
          <w:sz w:val="22"/>
          <w:szCs w:val="22"/>
          <w:lang w:eastAsia="en-US"/>
        </w:rPr>
        <w:t>RISTALLO ANALIZZATORE (</w:t>
      </w:r>
      <w:r w:rsidR="00217C13" w:rsidRPr="00E948AB">
        <w:rPr>
          <w:rFonts w:eastAsiaTheme="minorHAnsi"/>
          <w:color w:val="141414"/>
          <w:sz w:val="22"/>
          <w:szCs w:val="22"/>
          <w:lang w:eastAsia="en-US"/>
        </w:rPr>
        <w:t xml:space="preserve">Max </w:t>
      </w:r>
      <w:r w:rsidR="00654EDF" w:rsidRPr="00E948AB">
        <w:rPr>
          <w:rFonts w:eastAsiaTheme="minorHAnsi"/>
          <w:color w:val="141414"/>
          <w:sz w:val="22"/>
          <w:szCs w:val="22"/>
          <w:lang w:eastAsia="en-US"/>
        </w:rPr>
        <w:t>10 Punti): saranno attribuiti 10 Punti all’offerta che, tra tutte quelle valutate, prevederà le migliori prestazioni del cristallo analizzatore ottimizzato per gli elementi legg</w:t>
      </w:r>
      <w:r w:rsidR="00A3548E">
        <w:rPr>
          <w:rFonts w:eastAsiaTheme="minorHAnsi"/>
          <w:color w:val="141414"/>
          <w:sz w:val="22"/>
          <w:szCs w:val="22"/>
          <w:lang w:eastAsia="en-US"/>
        </w:rPr>
        <w:t>eri di cui all’Art. 1, comma 1.3</w:t>
      </w:r>
      <w:r w:rsidR="00654EDF" w:rsidRPr="00E948AB">
        <w:rPr>
          <w:rFonts w:eastAsiaTheme="minorHAnsi"/>
          <w:color w:val="141414"/>
          <w:sz w:val="22"/>
          <w:szCs w:val="22"/>
          <w:lang w:eastAsia="en-US"/>
        </w:rPr>
        <w:t xml:space="preserve">, lettera </w:t>
      </w:r>
      <w:r w:rsidR="00654EDF" w:rsidRPr="00A3548E">
        <w:rPr>
          <w:rFonts w:eastAsiaTheme="minorHAnsi"/>
          <w:color w:val="141414"/>
          <w:sz w:val="22"/>
          <w:szCs w:val="22"/>
          <w:lang w:eastAsia="en-US"/>
        </w:rPr>
        <w:t>v</w:t>
      </w:r>
      <w:r w:rsidR="00654EDF" w:rsidRPr="00E948AB">
        <w:rPr>
          <w:rFonts w:eastAsiaTheme="minorHAnsi"/>
          <w:color w:val="141414"/>
          <w:sz w:val="22"/>
          <w:szCs w:val="22"/>
          <w:lang w:eastAsia="en-US"/>
        </w:rPr>
        <w:t>);</w:t>
      </w:r>
    </w:p>
    <w:p w:rsidR="00654EDF" w:rsidRPr="00E948AB" w:rsidRDefault="00654EDF" w:rsidP="00BB0BD9">
      <w:pPr>
        <w:pStyle w:val="Paragrafoelenco"/>
        <w:numPr>
          <w:ilvl w:val="0"/>
          <w:numId w:val="6"/>
        </w:numPr>
        <w:autoSpaceDE w:val="0"/>
        <w:autoSpaceDN w:val="0"/>
        <w:adjustRightInd w:val="0"/>
        <w:jc w:val="both"/>
        <w:rPr>
          <w:rFonts w:eastAsiaTheme="minorHAnsi"/>
          <w:color w:val="141414"/>
          <w:sz w:val="22"/>
          <w:szCs w:val="22"/>
          <w:lang w:eastAsia="en-US"/>
        </w:rPr>
      </w:pPr>
      <w:r w:rsidRPr="00E948AB">
        <w:rPr>
          <w:rFonts w:eastAsiaTheme="minorHAnsi"/>
          <w:color w:val="141414"/>
          <w:sz w:val="22"/>
          <w:szCs w:val="22"/>
          <w:lang w:eastAsia="en-US"/>
        </w:rPr>
        <w:t>GARANZIA (Max 3 Punti): alle offerte che prevedono un termine di garanzia Full-</w:t>
      </w:r>
      <w:proofErr w:type="spellStart"/>
      <w:r w:rsidRPr="00E948AB">
        <w:rPr>
          <w:rFonts w:eastAsiaTheme="minorHAnsi"/>
          <w:color w:val="141414"/>
          <w:sz w:val="22"/>
          <w:szCs w:val="22"/>
          <w:lang w:eastAsia="en-US"/>
        </w:rPr>
        <w:t>Risk</w:t>
      </w:r>
      <w:proofErr w:type="spellEnd"/>
      <w:r w:rsidRPr="00E948AB">
        <w:rPr>
          <w:rFonts w:eastAsiaTheme="minorHAnsi"/>
          <w:color w:val="141414"/>
          <w:sz w:val="22"/>
          <w:szCs w:val="22"/>
          <w:lang w:eastAsia="en-US"/>
        </w:rPr>
        <w:t xml:space="preserve"> sulla strumentazione e gli accessori superiore al termine minimo di due anni di cui all’Art. 1, comma 1.4, lettera x), saranno attribuiti i punteggi di seguito indicati:</w:t>
      </w:r>
    </w:p>
    <w:p w:rsidR="00654EDF" w:rsidRPr="00AB776B" w:rsidRDefault="00654EDF" w:rsidP="00BB0BD9">
      <w:pPr>
        <w:pStyle w:val="Paragrafoelenco"/>
        <w:numPr>
          <w:ilvl w:val="0"/>
          <w:numId w:val="7"/>
        </w:numPr>
        <w:autoSpaceDE w:val="0"/>
        <w:autoSpaceDN w:val="0"/>
        <w:adjustRightInd w:val="0"/>
        <w:ind w:hanging="294"/>
        <w:jc w:val="both"/>
        <w:rPr>
          <w:rFonts w:eastAsiaTheme="minorHAnsi"/>
          <w:color w:val="141414"/>
          <w:sz w:val="22"/>
          <w:szCs w:val="22"/>
          <w:lang w:eastAsia="en-US"/>
        </w:rPr>
      </w:pPr>
      <w:r w:rsidRPr="00AB776B">
        <w:rPr>
          <w:rFonts w:eastAsiaTheme="minorHAnsi"/>
          <w:color w:val="141414"/>
          <w:sz w:val="22"/>
          <w:szCs w:val="22"/>
          <w:lang w:eastAsia="en-US"/>
        </w:rPr>
        <w:t>1 Punto per estensione temporale della garanzia Full-</w:t>
      </w:r>
      <w:proofErr w:type="spellStart"/>
      <w:r w:rsidRPr="00AB776B">
        <w:rPr>
          <w:rFonts w:eastAsiaTheme="minorHAnsi"/>
          <w:color w:val="141414"/>
          <w:sz w:val="22"/>
          <w:szCs w:val="22"/>
          <w:lang w:eastAsia="en-US"/>
        </w:rPr>
        <w:t>Risk</w:t>
      </w:r>
      <w:proofErr w:type="spellEnd"/>
      <w:r w:rsidRPr="00AB776B">
        <w:rPr>
          <w:rFonts w:eastAsiaTheme="minorHAnsi"/>
          <w:color w:val="141414"/>
          <w:sz w:val="22"/>
          <w:szCs w:val="22"/>
          <w:lang w:eastAsia="en-US"/>
        </w:rPr>
        <w:t xml:space="preserve"> di 1 anno;</w:t>
      </w:r>
    </w:p>
    <w:p w:rsidR="00654EDF" w:rsidRPr="00AB776B" w:rsidRDefault="00654EDF" w:rsidP="00BB0BD9">
      <w:pPr>
        <w:pStyle w:val="Paragrafoelenco"/>
        <w:numPr>
          <w:ilvl w:val="0"/>
          <w:numId w:val="7"/>
        </w:numPr>
        <w:autoSpaceDE w:val="0"/>
        <w:autoSpaceDN w:val="0"/>
        <w:adjustRightInd w:val="0"/>
        <w:ind w:hanging="294"/>
        <w:jc w:val="both"/>
        <w:rPr>
          <w:rFonts w:eastAsiaTheme="minorHAnsi"/>
          <w:color w:val="141414"/>
          <w:sz w:val="22"/>
          <w:szCs w:val="22"/>
          <w:lang w:eastAsia="en-US"/>
        </w:rPr>
      </w:pPr>
      <w:r w:rsidRPr="00AB776B">
        <w:rPr>
          <w:rFonts w:eastAsiaTheme="minorHAnsi"/>
          <w:color w:val="141414"/>
          <w:sz w:val="22"/>
          <w:szCs w:val="22"/>
          <w:lang w:eastAsia="en-US"/>
        </w:rPr>
        <w:t>2 Punti per estensione temporale della garanzia Full-</w:t>
      </w:r>
      <w:proofErr w:type="spellStart"/>
      <w:r w:rsidRPr="00AB776B">
        <w:rPr>
          <w:rFonts w:eastAsiaTheme="minorHAnsi"/>
          <w:color w:val="141414"/>
          <w:sz w:val="22"/>
          <w:szCs w:val="22"/>
          <w:lang w:eastAsia="en-US"/>
        </w:rPr>
        <w:t>Risk</w:t>
      </w:r>
      <w:proofErr w:type="spellEnd"/>
      <w:r w:rsidRPr="00AB776B">
        <w:rPr>
          <w:rFonts w:eastAsiaTheme="minorHAnsi"/>
          <w:color w:val="141414"/>
          <w:sz w:val="22"/>
          <w:szCs w:val="22"/>
          <w:lang w:eastAsia="en-US"/>
        </w:rPr>
        <w:t xml:space="preserve"> di 2 anni;</w:t>
      </w:r>
    </w:p>
    <w:p w:rsidR="00AB776B" w:rsidRDefault="00654EDF" w:rsidP="00BB0BD9">
      <w:pPr>
        <w:pStyle w:val="Paragrafoelenco"/>
        <w:numPr>
          <w:ilvl w:val="0"/>
          <w:numId w:val="7"/>
        </w:numPr>
        <w:autoSpaceDE w:val="0"/>
        <w:autoSpaceDN w:val="0"/>
        <w:adjustRightInd w:val="0"/>
        <w:ind w:hanging="294"/>
        <w:jc w:val="both"/>
        <w:rPr>
          <w:rFonts w:eastAsiaTheme="minorHAnsi"/>
          <w:color w:val="141414"/>
          <w:sz w:val="22"/>
          <w:szCs w:val="22"/>
          <w:lang w:eastAsia="en-US"/>
        </w:rPr>
      </w:pPr>
      <w:r w:rsidRPr="00AB776B">
        <w:rPr>
          <w:rFonts w:eastAsiaTheme="minorHAnsi"/>
          <w:color w:val="141414"/>
          <w:sz w:val="22"/>
          <w:szCs w:val="22"/>
          <w:lang w:eastAsia="en-US"/>
        </w:rPr>
        <w:t>3 Punti per estensione temporale della garanzia Full-</w:t>
      </w:r>
      <w:proofErr w:type="spellStart"/>
      <w:r w:rsidRPr="00AB776B">
        <w:rPr>
          <w:rFonts w:eastAsiaTheme="minorHAnsi"/>
          <w:color w:val="141414"/>
          <w:sz w:val="22"/>
          <w:szCs w:val="22"/>
          <w:lang w:eastAsia="en-US"/>
        </w:rPr>
        <w:t>Risk</w:t>
      </w:r>
      <w:proofErr w:type="spellEnd"/>
      <w:r w:rsidRPr="00AB776B">
        <w:rPr>
          <w:rFonts w:eastAsiaTheme="minorHAnsi"/>
          <w:color w:val="141414"/>
          <w:sz w:val="22"/>
          <w:szCs w:val="22"/>
          <w:lang w:eastAsia="en-US"/>
        </w:rPr>
        <w:t xml:space="preserve"> di 3 anni.</w:t>
      </w:r>
    </w:p>
    <w:p w:rsidR="00654EDF" w:rsidRPr="00AB776B" w:rsidRDefault="00AB776B" w:rsidP="00AB776B">
      <w:pPr>
        <w:autoSpaceDE w:val="0"/>
        <w:autoSpaceDN w:val="0"/>
        <w:adjustRightInd w:val="0"/>
        <w:ind w:left="426"/>
        <w:jc w:val="both"/>
        <w:rPr>
          <w:rFonts w:eastAsiaTheme="minorHAnsi"/>
          <w:color w:val="141414"/>
          <w:sz w:val="22"/>
          <w:szCs w:val="22"/>
          <w:lang w:eastAsia="en-US"/>
        </w:rPr>
      </w:pPr>
      <w:r w:rsidRPr="00AB776B">
        <w:rPr>
          <w:rFonts w:eastAsiaTheme="minorHAnsi"/>
          <w:color w:val="141414"/>
          <w:sz w:val="22"/>
          <w:szCs w:val="22"/>
          <w:lang w:eastAsia="en-US"/>
        </w:rPr>
        <w:t xml:space="preserve">I) </w:t>
      </w:r>
      <w:r w:rsidR="00654EDF" w:rsidRPr="00AB776B">
        <w:rPr>
          <w:rFonts w:eastAsiaTheme="minorHAnsi"/>
          <w:color w:val="141414"/>
          <w:sz w:val="22"/>
          <w:szCs w:val="22"/>
          <w:lang w:eastAsia="en-US"/>
        </w:rPr>
        <w:t>SERVIZIO DI ASSISTENZA E MANUTENZIONE (Max 3 Punti): alle offerte che prevedono un termine del servizio di assistenza e manutenzione, conforme alle condizioni di cui all’Art. 1, comma 1.4, lettera y), superiore al termine minimo di cui al sopra richiamato Articolo, saranno attribuiti i punteggi di seguito indicati:</w:t>
      </w:r>
    </w:p>
    <w:p w:rsidR="00654EDF" w:rsidRPr="00AB776B" w:rsidRDefault="00654EDF" w:rsidP="00BB0BD9">
      <w:pPr>
        <w:pStyle w:val="Paragrafoelenco"/>
        <w:numPr>
          <w:ilvl w:val="0"/>
          <w:numId w:val="8"/>
        </w:numPr>
        <w:autoSpaceDE w:val="0"/>
        <w:autoSpaceDN w:val="0"/>
        <w:adjustRightInd w:val="0"/>
        <w:ind w:hanging="294"/>
        <w:jc w:val="both"/>
        <w:rPr>
          <w:rFonts w:eastAsiaTheme="minorHAnsi"/>
          <w:color w:val="141414"/>
          <w:sz w:val="22"/>
          <w:szCs w:val="22"/>
          <w:lang w:eastAsia="en-US"/>
        </w:rPr>
      </w:pPr>
      <w:r w:rsidRPr="00AB776B">
        <w:rPr>
          <w:rFonts w:eastAsiaTheme="minorHAnsi"/>
          <w:color w:val="141414"/>
          <w:sz w:val="22"/>
          <w:szCs w:val="22"/>
          <w:lang w:eastAsia="en-US"/>
        </w:rPr>
        <w:t>1 Punto per estensione temporale del servizio di assistenza e manutenzione di 1 anno;</w:t>
      </w:r>
    </w:p>
    <w:p w:rsidR="00654EDF" w:rsidRPr="00AB776B" w:rsidRDefault="00654EDF" w:rsidP="00BB0BD9">
      <w:pPr>
        <w:pStyle w:val="Paragrafoelenco"/>
        <w:numPr>
          <w:ilvl w:val="0"/>
          <w:numId w:val="8"/>
        </w:numPr>
        <w:autoSpaceDE w:val="0"/>
        <w:autoSpaceDN w:val="0"/>
        <w:adjustRightInd w:val="0"/>
        <w:ind w:hanging="294"/>
        <w:jc w:val="both"/>
        <w:rPr>
          <w:rFonts w:eastAsiaTheme="minorHAnsi"/>
          <w:color w:val="141414"/>
          <w:sz w:val="22"/>
          <w:szCs w:val="22"/>
          <w:lang w:eastAsia="en-US"/>
        </w:rPr>
      </w:pPr>
      <w:r w:rsidRPr="00AB776B">
        <w:rPr>
          <w:rFonts w:eastAsiaTheme="minorHAnsi"/>
          <w:color w:val="141414"/>
          <w:sz w:val="22"/>
          <w:szCs w:val="22"/>
          <w:lang w:eastAsia="en-US"/>
        </w:rPr>
        <w:t>2 Punti per estensione temporale del servizio di assistenza e manutenzione di 2 anni;</w:t>
      </w:r>
    </w:p>
    <w:p w:rsidR="00AB776B" w:rsidRDefault="00654EDF" w:rsidP="00BB0BD9">
      <w:pPr>
        <w:pStyle w:val="Paragrafoelenco"/>
        <w:numPr>
          <w:ilvl w:val="0"/>
          <w:numId w:val="8"/>
        </w:numPr>
        <w:autoSpaceDE w:val="0"/>
        <w:autoSpaceDN w:val="0"/>
        <w:adjustRightInd w:val="0"/>
        <w:ind w:hanging="294"/>
        <w:jc w:val="both"/>
        <w:rPr>
          <w:rFonts w:eastAsiaTheme="minorHAnsi"/>
          <w:color w:val="141414"/>
          <w:sz w:val="22"/>
          <w:szCs w:val="22"/>
          <w:lang w:eastAsia="en-US"/>
        </w:rPr>
      </w:pPr>
      <w:r w:rsidRPr="00AB776B">
        <w:rPr>
          <w:rFonts w:eastAsiaTheme="minorHAnsi"/>
          <w:color w:val="141414"/>
          <w:sz w:val="22"/>
          <w:szCs w:val="22"/>
          <w:lang w:eastAsia="en-US"/>
        </w:rPr>
        <w:t>3 Punti per estensione temporale del servizio di assistenza e manutenzione di 3 anni;</w:t>
      </w:r>
    </w:p>
    <w:p w:rsidR="00654EDF" w:rsidRPr="00AB776B" w:rsidRDefault="00AB776B" w:rsidP="00AB776B">
      <w:pPr>
        <w:autoSpaceDE w:val="0"/>
        <w:autoSpaceDN w:val="0"/>
        <w:adjustRightInd w:val="0"/>
        <w:ind w:left="426"/>
        <w:jc w:val="both"/>
        <w:rPr>
          <w:rFonts w:eastAsiaTheme="minorHAnsi"/>
          <w:color w:val="141414"/>
          <w:sz w:val="22"/>
          <w:szCs w:val="22"/>
          <w:lang w:eastAsia="en-US"/>
        </w:rPr>
      </w:pPr>
      <w:r w:rsidRPr="00AB776B">
        <w:rPr>
          <w:rFonts w:eastAsiaTheme="minorHAnsi"/>
          <w:color w:val="141414"/>
          <w:sz w:val="22"/>
          <w:szCs w:val="22"/>
          <w:lang w:eastAsia="en-US"/>
        </w:rPr>
        <w:t>J</w:t>
      </w:r>
      <w:r w:rsidR="00654EDF" w:rsidRPr="00AB776B">
        <w:rPr>
          <w:rFonts w:eastAsiaTheme="minorHAnsi"/>
          <w:color w:val="141414"/>
          <w:sz w:val="22"/>
          <w:szCs w:val="22"/>
          <w:lang w:eastAsia="en-US"/>
        </w:rPr>
        <w:t>) TRAINING (Max 1 Punto): alle offerte che prevedono un termine del servizio di training, conforme alle condizi</w:t>
      </w:r>
      <w:r w:rsidR="00A3548E">
        <w:rPr>
          <w:rFonts w:eastAsiaTheme="minorHAnsi"/>
          <w:color w:val="141414"/>
          <w:sz w:val="22"/>
          <w:szCs w:val="22"/>
          <w:lang w:eastAsia="en-US"/>
        </w:rPr>
        <w:t>oni di cui all’Art. 1, comma 1.5</w:t>
      </w:r>
      <w:r w:rsidR="00654EDF" w:rsidRPr="00AB776B">
        <w:rPr>
          <w:rFonts w:eastAsiaTheme="minorHAnsi"/>
          <w:color w:val="141414"/>
          <w:sz w:val="22"/>
          <w:szCs w:val="22"/>
          <w:lang w:eastAsia="en-US"/>
        </w:rPr>
        <w:t>, lettera z), superiore al termine minimo di cui al sopra richiamato Articolo, saranno attribuiti i punteggi di seguito indicati:</w:t>
      </w:r>
    </w:p>
    <w:p w:rsidR="00654EDF" w:rsidRPr="00AB776B" w:rsidRDefault="00654EDF" w:rsidP="00BB0BD9">
      <w:pPr>
        <w:pStyle w:val="Paragrafoelenco"/>
        <w:numPr>
          <w:ilvl w:val="0"/>
          <w:numId w:val="9"/>
        </w:numPr>
        <w:autoSpaceDE w:val="0"/>
        <w:autoSpaceDN w:val="0"/>
        <w:adjustRightInd w:val="0"/>
        <w:jc w:val="both"/>
        <w:rPr>
          <w:rFonts w:eastAsiaTheme="minorHAnsi"/>
          <w:color w:val="141414"/>
          <w:sz w:val="22"/>
          <w:szCs w:val="22"/>
          <w:lang w:eastAsia="en-US"/>
        </w:rPr>
      </w:pPr>
      <w:r w:rsidRPr="00AB776B">
        <w:rPr>
          <w:rFonts w:eastAsiaTheme="minorHAnsi"/>
          <w:color w:val="141414"/>
          <w:sz w:val="22"/>
          <w:szCs w:val="22"/>
          <w:lang w:eastAsia="en-US"/>
        </w:rPr>
        <w:t>0,5 Punti per estensione temporale del servizio di training di 1 giorno;</w:t>
      </w:r>
    </w:p>
    <w:p w:rsidR="00654EDF" w:rsidRPr="00AB776B" w:rsidRDefault="00654EDF" w:rsidP="00BB0BD9">
      <w:pPr>
        <w:pStyle w:val="Paragrafoelenco"/>
        <w:numPr>
          <w:ilvl w:val="0"/>
          <w:numId w:val="5"/>
        </w:numPr>
        <w:autoSpaceDE w:val="0"/>
        <w:autoSpaceDN w:val="0"/>
        <w:adjustRightInd w:val="0"/>
        <w:jc w:val="both"/>
        <w:rPr>
          <w:rFonts w:eastAsiaTheme="minorHAnsi"/>
          <w:color w:val="141414"/>
          <w:sz w:val="22"/>
          <w:szCs w:val="22"/>
          <w:lang w:eastAsia="en-US"/>
        </w:rPr>
      </w:pPr>
      <w:r w:rsidRPr="00AB776B">
        <w:rPr>
          <w:rFonts w:eastAsiaTheme="minorHAnsi"/>
          <w:color w:val="141414"/>
          <w:sz w:val="22"/>
          <w:szCs w:val="22"/>
          <w:lang w:eastAsia="en-US"/>
        </w:rPr>
        <w:t>1 Punto per estensione temporale del servizio di training di 2 giorni.</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654EDF" w:rsidRDefault="00654EDF" w:rsidP="00654EDF">
      <w:pPr>
        <w:autoSpaceDE w:val="0"/>
        <w:autoSpaceDN w:val="0"/>
        <w:adjustRightInd w:val="0"/>
        <w:jc w:val="both"/>
        <w:rPr>
          <w:rFonts w:eastAsiaTheme="minorHAnsi"/>
          <w:b/>
          <w:color w:val="141414"/>
          <w:sz w:val="22"/>
          <w:szCs w:val="22"/>
          <w:lang w:eastAsia="en-US"/>
        </w:rPr>
      </w:pPr>
      <w:r w:rsidRPr="00654EDF">
        <w:rPr>
          <w:rFonts w:eastAsiaTheme="minorHAnsi"/>
          <w:b/>
          <w:color w:val="141414"/>
          <w:sz w:val="22"/>
          <w:szCs w:val="22"/>
          <w:lang w:eastAsia="en-US"/>
        </w:rPr>
        <w:t>OFFERTA ECONOMICA (MASSIMO 10 PUNTI)</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L’offerta economica, verrà valutata mediante la formula di seguito indicata, in funzione del prezzo più basso rispetto al prezzo posto a base di gara (€155.737,70</w:t>
      </w:r>
      <w:r w:rsidR="007A3F0F" w:rsidRPr="007A3F0F">
        <w:rPr>
          <w:rFonts w:eastAsiaTheme="minorHAnsi"/>
          <w:color w:val="141414"/>
          <w:sz w:val="22"/>
          <w:szCs w:val="22"/>
          <w:lang w:eastAsia="en-US"/>
        </w:rPr>
        <w:t xml:space="preserve"> </w:t>
      </w:r>
      <w:r w:rsidRPr="007A3F0F">
        <w:rPr>
          <w:rFonts w:eastAsiaTheme="minorHAnsi"/>
          <w:color w:val="141414"/>
          <w:sz w:val="22"/>
          <w:szCs w:val="22"/>
          <w:lang w:eastAsia="en-US"/>
        </w:rPr>
        <w:t xml:space="preserve">IVA esclusa). </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Il punteggio massimo di 10 punti verrà assegnato all’offerta che prevede fra tutte il prezzo più basso.</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Alle altre offerte verranno attribuiti punteggi proporziona</w:t>
      </w:r>
      <w:r w:rsidR="007A3F0F">
        <w:rPr>
          <w:rFonts w:eastAsiaTheme="minorHAnsi"/>
          <w:color w:val="141414"/>
          <w:sz w:val="22"/>
          <w:szCs w:val="22"/>
          <w:lang w:eastAsia="en-US"/>
        </w:rPr>
        <w:t>li secondo la seguente formula:</w:t>
      </w:r>
    </w:p>
    <w:p w:rsidR="00654EDF" w:rsidRPr="00654EDF" w:rsidRDefault="007A3F0F" w:rsidP="00654EDF">
      <w:pPr>
        <w:autoSpaceDE w:val="0"/>
        <w:autoSpaceDN w:val="0"/>
        <w:adjustRightInd w:val="0"/>
        <w:jc w:val="both"/>
        <w:rPr>
          <w:rFonts w:eastAsiaTheme="minorHAnsi"/>
          <w:b/>
          <w:color w:val="141414"/>
          <w:sz w:val="22"/>
          <w:szCs w:val="22"/>
          <w:lang w:eastAsia="en-US"/>
        </w:rPr>
      </w:pPr>
      <w:proofErr w:type="spellStart"/>
      <w:r>
        <w:rPr>
          <w:rFonts w:eastAsiaTheme="minorHAnsi"/>
          <w:b/>
          <w:color w:val="141414"/>
          <w:sz w:val="22"/>
          <w:szCs w:val="22"/>
          <w:lang w:eastAsia="en-US"/>
        </w:rPr>
        <w:t>Pi</w:t>
      </w:r>
      <w:proofErr w:type="spellEnd"/>
      <w:r>
        <w:rPr>
          <w:rFonts w:eastAsiaTheme="minorHAnsi"/>
          <w:b/>
          <w:color w:val="141414"/>
          <w:sz w:val="22"/>
          <w:szCs w:val="22"/>
          <w:lang w:eastAsia="en-US"/>
        </w:rPr>
        <w:t xml:space="preserve"> = (</w:t>
      </w:r>
      <w:proofErr w:type="spellStart"/>
      <w:r>
        <w:rPr>
          <w:rFonts w:eastAsiaTheme="minorHAnsi"/>
          <w:b/>
          <w:color w:val="141414"/>
          <w:sz w:val="22"/>
          <w:szCs w:val="22"/>
          <w:lang w:eastAsia="en-US"/>
        </w:rPr>
        <w:t>POmin</w:t>
      </w:r>
      <w:proofErr w:type="spellEnd"/>
      <w:r>
        <w:rPr>
          <w:rFonts w:eastAsiaTheme="minorHAnsi"/>
          <w:b/>
          <w:color w:val="141414"/>
          <w:sz w:val="22"/>
          <w:szCs w:val="22"/>
          <w:lang w:eastAsia="en-US"/>
        </w:rPr>
        <w:t>/</w:t>
      </w:r>
      <w:proofErr w:type="spellStart"/>
      <w:r>
        <w:rPr>
          <w:rFonts w:eastAsiaTheme="minorHAnsi"/>
          <w:b/>
          <w:color w:val="141414"/>
          <w:sz w:val="22"/>
          <w:szCs w:val="22"/>
          <w:lang w:eastAsia="en-US"/>
        </w:rPr>
        <w:t>POi</w:t>
      </w:r>
      <w:proofErr w:type="spellEnd"/>
      <w:r>
        <w:rPr>
          <w:rFonts w:eastAsiaTheme="minorHAnsi"/>
          <w:b/>
          <w:color w:val="141414"/>
          <w:sz w:val="22"/>
          <w:szCs w:val="22"/>
          <w:lang w:eastAsia="en-US"/>
        </w:rPr>
        <w:t>) x 10</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Dove:</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654EDF">
        <w:rPr>
          <w:rFonts w:eastAsiaTheme="minorHAnsi"/>
          <w:b/>
          <w:color w:val="141414"/>
          <w:sz w:val="22"/>
          <w:szCs w:val="22"/>
          <w:lang w:eastAsia="en-US"/>
        </w:rPr>
        <w:t>•</w:t>
      </w:r>
      <w:r w:rsidRPr="00654EDF">
        <w:rPr>
          <w:rFonts w:eastAsiaTheme="minorHAnsi"/>
          <w:b/>
          <w:color w:val="141414"/>
          <w:sz w:val="22"/>
          <w:szCs w:val="22"/>
          <w:lang w:eastAsia="en-US"/>
        </w:rPr>
        <w:tab/>
      </w:r>
      <w:r w:rsidRPr="007A3F0F">
        <w:rPr>
          <w:rFonts w:eastAsiaTheme="minorHAnsi"/>
          <w:color w:val="141414"/>
          <w:sz w:val="22"/>
          <w:szCs w:val="22"/>
          <w:lang w:eastAsia="en-US"/>
        </w:rPr>
        <w:t xml:space="preserve">Pi = Punteggio Offerta </w:t>
      </w:r>
      <w:proofErr w:type="spellStart"/>
      <w:r w:rsidRPr="007A3F0F">
        <w:rPr>
          <w:rFonts w:eastAsiaTheme="minorHAnsi"/>
          <w:color w:val="141414"/>
          <w:sz w:val="22"/>
          <w:szCs w:val="22"/>
          <w:lang w:eastAsia="en-US"/>
        </w:rPr>
        <w:t>iesima</w:t>
      </w:r>
      <w:proofErr w:type="spellEnd"/>
      <w:r w:rsidRPr="007A3F0F">
        <w:rPr>
          <w:rFonts w:eastAsiaTheme="minorHAnsi"/>
          <w:color w:val="141414"/>
          <w:sz w:val="22"/>
          <w:szCs w:val="22"/>
          <w:lang w:eastAsia="en-US"/>
        </w:rPr>
        <w:t xml:space="preserve"> (offerta oggetto di valutazione per computo punteggio)</w:t>
      </w: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w:t>
      </w:r>
      <w:r w:rsidRPr="007A3F0F">
        <w:rPr>
          <w:rFonts w:eastAsiaTheme="minorHAnsi"/>
          <w:color w:val="141414"/>
          <w:sz w:val="22"/>
          <w:szCs w:val="22"/>
          <w:lang w:eastAsia="en-US"/>
        </w:rPr>
        <w:tab/>
      </w:r>
      <w:proofErr w:type="spellStart"/>
      <w:r w:rsidRPr="007A3F0F">
        <w:rPr>
          <w:rFonts w:eastAsiaTheme="minorHAnsi"/>
          <w:color w:val="141414"/>
          <w:sz w:val="22"/>
          <w:szCs w:val="22"/>
          <w:lang w:eastAsia="en-US"/>
        </w:rPr>
        <w:t>POi</w:t>
      </w:r>
      <w:proofErr w:type="spellEnd"/>
      <w:r w:rsidRPr="007A3F0F">
        <w:rPr>
          <w:rFonts w:eastAsiaTheme="minorHAnsi"/>
          <w:color w:val="141414"/>
          <w:sz w:val="22"/>
          <w:szCs w:val="22"/>
          <w:lang w:eastAsia="en-US"/>
        </w:rPr>
        <w:t xml:space="preserve"> = Prezzo Offerta </w:t>
      </w:r>
      <w:proofErr w:type="spellStart"/>
      <w:r w:rsidRPr="007A3F0F">
        <w:rPr>
          <w:rFonts w:eastAsiaTheme="minorHAnsi"/>
          <w:color w:val="141414"/>
          <w:sz w:val="22"/>
          <w:szCs w:val="22"/>
          <w:lang w:eastAsia="en-US"/>
        </w:rPr>
        <w:t>iesima</w:t>
      </w:r>
      <w:proofErr w:type="spellEnd"/>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w:t>
      </w:r>
      <w:r w:rsidRPr="007A3F0F">
        <w:rPr>
          <w:rFonts w:eastAsiaTheme="minorHAnsi"/>
          <w:color w:val="141414"/>
          <w:sz w:val="22"/>
          <w:szCs w:val="22"/>
          <w:lang w:eastAsia="en-US"/>
        </w:rPr>
        <w:tab/>
      </w:r>
      <w:proofErr w:type="spellStart"/>
      <w:r w:rsidRPr="007A3F0F">
        <w:rPr>
          <w:rFonts w:eastAsiaTheme="minorHAnsi"/>
          <w:color w:val="141414"/>
          <w:sz w:val="22"/>
          <w:szCs w:val="22"/>
          <w:lang w:eastAsia="en-US"/>
        </w:rPr>
        <w:t>POmin</w:t>
      </w:r>
      <w:proofErr w:type="spellEnd"/>
      <w:r w:rsidRPr="007A3F0F">
        <w:rPr>
          <w:rFonts w:eastAsiaTheme="minorHAnsi"/>
          <w:color w:val="141414"/>
          <w:sz w:val="22"/>
          <w:szCs w:val="22"/>
          <w:lang w:eastAsia="en-US"/>
        </w:rPr>
        <w:t xml:space="preserve">= Prezzo dell’offerta che prevede fra tutte il prezzo più basso </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A3F0F" w:rsidRDefault="007A3F0F" w:rsidP="00BB0BD9">
      <w:pPr>
        <w:pStyle w:val="Paragrafoelenco"/>
        <w:numPr>
          <w:ilvl w:val="0"/>
          <w:numId w:val="3"/>
        </w:numPr>
        <w:autoSpaceDE w:val="0"/>
        <w:autoSpaceDN w:val="0"/>
        <w:adjustRightInd w:val="0"/>
        <w:jc w:val="both"/>
        <w:rPr>
          <w:rFonts w:eastAsiaTheme="minorHAnsi"/>
          <w:b/>
          <w:color w:val="141414"/>
          <w:sz w:val="22"/>
          <w:szCs w:val="22"/>
          <w:lang w:eastAsia="en-US"/>
        </w:rPr>
      </w:pPr>
      <w:r w:rsidRPr="007A3F0F">
        <w:rPr>
          <w:rFonts w:eastAsiaTheme="minorHAnsi"/>
          <w:b/>
          <w:color w:val="141414"/>
          <w:sz w:val="22"/>
          <w:szCs w:val="22"/>
          <w:lang w:eastAsia="en-US"/>
        </w:rPr>
        <w:t>COMMISSIONE GIUDICATRICE</w:t>
      </w:r>
    </w:p>
    <w:p w:rsidR="00654EDF" w:rsidRPr="00654EDF" w:rsidRDefault="00654EDF" w:rsidP="00654EDF">
      <w:pPr>
        <w:autoSpaceDE w:val="0"/>
        <w:autoSpaceDN w:val="0"/>
        <w:adjustRightInd w:val="0"/>
        <w:jc w:val="both"/>
        <w:rPr>
          <w:rFonts w:eastAsiaTheme="minorHAnsi"/>
          <w:b/>
          <w:color w:val="141414"/>
          <w:sz w:val="22"/>
          <w:szCs w:val="22"/>
          <w:lang w:eastAsia="en-US"/>
        </w:rPr>
      </w:pPr>
    </w:p>
    <w:p w:rsidR="00654EDF" w:rsidRPr="007A3F0F" w:rsidRDefault="00654EDF" w:rsidP="00654EDF">
      <w:pPr>
        <w:autoSpaceDE w:val="0"/>
        <w:autoSpaceDN w:val="0"/>
        <w:adjustRightInd w:val="0"/>
        <w:jc w:val="both"/>
        <w:rPr>
          <w:rFonts w:eastAsiaTheme="minorHAnsi"/>
          <w:color w:val="141414"/>
          <w:sz w:val="22"/>
          <w:szCs w:val="22"/>
          <w:lang w:eastAsia="en-US"/>
        </w:rPr>
      </w:pPr>
      <w:r w:rsidRPr="007A3F0F">
        <w:rPr>
          <w:rFonts w:eastAsiaTheme="minorHAnsi"/>
          <w:color w:val="141414"/>
          <w:sz w:val="22"/>
          <w:szCs w:val="22"/>
          <w:lang w:eastAsia="en-US"/>
        </w:rPr>
        <w:t>Le offerte presentate saranno sottoposte all’esame ed al giudizio di un’apposita Commissione nominata dal CNR ITAE, dopo la scadenza del termine fissato per la presentazione delle offerte. Tale Commissione sarà composta da un numero dispari di componenti non superiore a cinque.</w:t>
      </w:r>
    </w:p>
    <w:p w:rsidR="00B333E1" w:rsidRPr="007A3F0F" w:rsidRDefault="00B333E1" w:rsidP="00B333E1">
      <w:pPr>
        <w:autoSpaceDE w:val="0"/>
        <w:autoSpaceDN w:val="0"/>
        <w:adjustRightInd w:val="0"/>
        <w:jc w:val="both"/>
        <w:rPr>
          <w:rFonts w:eastAsiaTheme="minorHAnsi"/>
          <w:color w:val="141414"/>
          <w:sz w:val="22"/>
          <w:szCs w:val="22"/>
          <w:lang w:eastAsia="en-US"/>
        </w:rPr>
      </w:pPr>
    </w:p>
    <w:p w:rsidR="003E72C9" w:rsidRPr="007A3F0F" w:rsidRDefault="003E72C9" w:rsidP="00BB0BD9">
      <w:pPr>
        <w:pStyle w:val="Paragrafoelenco"/>
        <w:numPr>
          <w:ilvl w:val="0"/>
          <w:numId w:val="3"/>
        </w:numPr>
        <w:spacing w:before="10"/>
        <w:jc w:val="both"/>
        <w:rPr>
          <w:rFonts w:eastAsiaTheme="minorHAnsi"/>
          <w:b/>
          <w:color w:val="141414"/>
          <w:sz w:val="22"/>
          <w:szCs w:val="22"/>
          <w:lang w:eastAsia="en-US"/>
        </w:rPr>
      </w:pPr>
      <w:r w:rsidRPr="007A3F0F">
        <w:rPr>
          <w:rFonts w:eastAsiaTheme="minorHAnsi"/>
          <w:b/>
          <w:color w:val="141414"/>
          <w:sz w:val="22"/>
          <w:szCs w:val="22"/>
          <w:lang w:eastAsia="en-US"/>
        </w:rPr>
        <w:t>ALTRE INFORMAZIONI</w:t>
      </w:r>
    </w:p>
    <w:p w:rsidR="003E72C9" w:rsidRPr="003B36B4" w:rsidRDefault="003E72C9" w:rsidP="003E72C9">
      <w:pPr>
        <w:spacing w:before="10"/>
        <w:jc w:val="both"/>
        <w:rPr>
          <w:rFonts w:eastAsiaTheme="minorHAnsi"/>
          <w:color w:val="141414"/>
          <w:sz w:val="22"/>
          <w:szCs w:val="22"/>
          <w:lang w:eastAsia="en-US"/>
        </w:rPr>
      </w:pPr>
    </w:p>
    <w:p w:rsidR="003E72C9" w:rsidRPr="003B36B4" w:rsidRDefault="003E72C9" w:rsidP="00374BF5">
      <w:pPr>
        <w:spacing w:before="10"/>
        <w:jc w:val="both"/>
        <w:rPr>
          <w:rFonts w:eastAsiaTheme="minorHAnsi"/>
          <w:sz w:val="22"/>
          <w:szCs w:val="22"/>
          <w:lang w:eastAsia="en-US"/>
        </w:rPr>
      </w:pPr>
      <w:r w:rsidRPr="003B36B4">
        <w:rPr>
          <w:rFonts w:eastAsiaTheme="minorHAnsi"/>
          <w:sz w:val="22"/>
          <w:szCs w:val="22"/>
          <w:lang w:eastAsia="en-US"/>
        </w:rPr>
        <w:t xml:space="preserve">Per informazioni di carattere tecnico si prega contattare </w:t>
      </w:r>
      <w:r w:rsidR="00374BF5" w:rsidRPr="003B36B4">
        <w:rPr>
          <w:rFonts w:eastAsiaTheme="minorHAnsi"/>
          <w:sz w:val="22"/>
          <w:szCs w:val="22"/>
          <w:lang w:eastAsia="en-US"/>
        </w:rPr>
        <w:t>i</w:t>
      </w:r>
      <w:r w:rsidRPr="003B36B4">
        <w:rPr>
          <w:rFonts w:eastAsiaTheme="minorHAnsi"/>
          <w:sz w:val="22"/>
          <w:szCs w:val="22"/>
          <w:lang w:eastAsia="en-US"/>
        </w:rPr>
        <w:t>l</w:t>
      </w:r>
      <w:r w:rsidR="00374BF5" w:rsidRPr="003B36B4">
        <w:rPr>
          <w:rFonts w:eastAsiaTheme="minorHAnsi"/>
          <w:sz w:val="22"/>
          <w:szCs w:val="22"/>
          <w:lang w:eastAsia="en-US"/>
        </w:rPr>
        <w:t xml:space="preserve"> </w:t>
      </w:r>
      <w:proofErr w:type="spellStart"/>
      <w:r w:rsidR="00F768A6" w:rsidRPr="003B36B4">
        <w:rPr>
          <w:rFonts w:eastAsiaTheme="minorHAnsi"/>
          <w:sz w:val="22"/>
          <w:szCs w:val="22"/>
          <w:lang w:eastAsia="en-US"/>
        </w:rPr>
        <w:t>il</w:t>
      </w:r>
      <w:proofErr w:type="spellEnd"/>
      <w:r w:rsidR="00F768A6" w:rsidRPr="003B36B4">
        <w:rPr>
          <w:rFonts w:eastAsiaTheme="minorHAnsi"/>
          <w:sz w:val="22"/>
          <w:szCs w:val="22"/>
          <w:lang w:eastAsia="en-US"/>
        </w:rPr>
        <w:t xml:space="preserve"> Dott. Lorenzo Spadaro (tel.: 090.624.417, e- mail: lorenzo.spadaro@itae.cnr.it).</w:t>
      </w:r>
    </w:p>
    <w:sectPr w:rsidR="003E72C9" w:rsidRPr="003B36B4" w:rsidSect="00BB095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76" w:left="1134"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C5" w:rsidRDefault="004B57C5" w:rsidP="00611CF6">
      <w:r>
        <w:separator/>
      </w:r>
    </w:p>
  </w:endnote>
  <w:endnote w:type="continuationSeparator" w:id="0">
    <w:p w:rsidR="004B57C5" w:rsidRDefault="004B57C5" w:rsidP="0061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sansLight">
    <w:altName w:val="Trebuchet MS"/>
    <w:panose1 w:val="02000603020000020003"/>
    <w:charset w:val="00"/>
    <w:family w:val="auto"/>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44" w:rsidRPr="00A54544" w:rsidRDefault="00B64C91" w:rsidP="00B64C91">
    <w:pPr>
      <w:tabs>
        <w:tab w:val="left" w:pos="1940"/>
        <w:tab w:val="center" w:pos="4819"/>
        <w:tab w:val="left" w:pos="5980"/>
      </w:tabs>
      <w:rPr>
        <w:rFonts w:ascii="GeosansLight" w:hAnsi="GeosansLight"/>
        <w:color w:val="323E4F" w:themeColor="text2" w:themeShade="BF"/>
        <w:sz w:val="17"/>
      </w:rPr>
    </w:pPr>
    <w:r>
      <w:rPr>
        <w:rFonts w:ascii="Arial Narrow" w:hAnsi="Arial Narrow"/>
        <w:color w:val="2F5496" w:themeColor="accent5" w:themeShade="BF"/>
        <w:sz w:val="17"/>
      </w:rPr>
      <w:tab/>
    </w:r>
  </w:p>
  <w:tbl>
    <w:tblPr>
      <w:tblStyle w:val="Grigliatabella"/>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8552"/>
    </w:tblGrid>
    <w:tr w:rsidR="00A54544" w:rsidTr="00BB0958">
      <w:trPr>
        <w:trHeight w:val="233"/>
      </w:trPr>
      <w:tc>
        <w:tcPr>
          <w:tcW w:w="822" w:type="dxa"/>
          <w:vMerge w:val="restart"/>
        </w:tcPr>
        <w:p w:rsidR="00A54544" w:rsidRPr="00BB0958" w:rsidRDefault="00D22ABE" w:rsidP="00B64C91">
          <w:pPr>
            <w:tabs>
              <w:tab w:val="left" w:pos="1940"/>
              <w:tab w:val="center" w:pos="4819"/>
              <w:tab w:val="left" w:pos="5980"/>
            </w:tabs>
            <w:rPr>
              <w:rFonts w:ascii="GeosansLight" w:hAnsi="GeosansLight"/>
              <w:color w:val="323E4F" w:themeColor="text2" w:themeShade="BF"/>
              <w:sz w:val="18"/>
              <w:szCs w:val="18"/>
            </w:rPr>
          </w:pPr>
          <w:r w:rsidRPr="00BB0958">
            <w:rPr>
              <w:rFonts w:ascii="GeosansLight" w:hAnsi="GeosansLight"/>
              <w:noProof/>
              <w:color w:val="323E4F" w:themeColor="text2" w:themeShade="BF"/>
              <w:sz w:val="18"/>
              <w:szCs w:val="18"/>
            </w:rPr>
            <w:drawing>
              <wp:anchor distT="0" distB="0" distL="114300" distR="114300" simplePos="0" relativeHeight="251658240" behindDoc="1" locked="0" layoutInCell="1" allowOverlap="1">
                <wp:simplePos x="0" y="0"/>
                <wp:positionH relativeFrom="column">
                  <wp:posOffset>-58647</wp:posOffset>
                </wp:positionH>
                <wp:positionV relativeFrom="paragraph">
                  <wp:posOffset>194945</wp:posOffset>
                </wp:positionV>
                <wp:extent cx="557831" cy="360503"/>
                <wp:effectExtent l="0" t="0" r="0" b="1905"/>
                <wp:wrapTight wrapText="bothSides">
                  <wp:wrapPolygon edited="0">
                    <wp:start x="0" y="0"/>
                    <wp:lineTo x="0" y="20571"/>
                    <wp:lineTo x="20665" y="20571"/>
                    <wp:lineTo x="2066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31" cy="360503"/>
                        </a:xfrm>
                        <a:prstGeom prst="rect">
                          <a:avLst/>
                        </a:prstGeom>
                        <a:noFill/>
                      </pic:spPr>
                    </pic:pic>
                  </a:graphicData>
                </a:graphic>
              </wp:anchor>
            </w:drawing>
          </w:r>
        </w:p>
      </w:tc>
      <w:tc>
        <w:tcPr>
          <w:tcW w:w="8552" w:type="dxa"/>
        </w:tcPr>
        <w:p w:rsidR="001A1EF8" w:rsidRPr="001E4CFB" w:rsidRDefault="001A1EF8" w:rsidP="00A54544">
          <w:pPr>
            <w:tabs>
              <w:tab w:val="left" w:pos="1940"/>
              <w:tab w:val="center" w:pos="4819"/>
              <w:tab w:val="left" w:pos="5980"/>
            </w:tabs>
            <w:rPr>
              <w:rFonts w:ascii="GeosansLight" w:hAnsi="GeosansLight"/>
              <w:b/>
              <w:color w:val="323E4F" w:themeColor="text2" w:themeShade="BF"/>
              <w:sz w:val="18"/>
              <w:szCs w:val="18"/>
            </w:rPr>
          </w:pPr>
        </w:p>
        <w:p w:rsidR="001A1EF8" w:rsidRPr="001E4CFB" w:rsidRDefault="001A1EF8" w:rsidP="00A54544">
          <w:pPr>
            <w:tabs>
              <w:tab w:val="left" w:pos="1940"/>
              <w:tab w:val="center" w:pos="4819"/>
              <w:tab w:val="left" w:pos="5980"/>
            </w:tabs>
            <w:rPr>
              <w:rFonts w:ascii="GeosansLight" w:hAnsi="GeosansLight"/>
              <w:b/>
              <w:color w:val="323E4F" w:themeColor="text2" w:themeShade="BF"/>
              <w:sz w:val="18"/>
              <w:szCs w:val="18"/>
            </w:rPr>
          </w:pPr>
        </w:p>
        <w:p w:rsidR="00A54544" w:rsidRPr="001E4CFB" w:rsidRDefault="00A226B3" w:rsidP="00A54544">
          <w:pPr>
            <w:tabs>
              <w:tab w:val="left" w:pos="1940"/>
              <w:tab w:val="center" w:pos="4819"/>
              <w:tab w:val="left" w:pos="5980"/>
            </w:tabs>
            <w:rPr>
              <w:rFonts w:ascii="GeosansLight" w:hAnsi="GeosansLight"/>
              <w:b/>
              <w:color w:val="323E4F" w:themeColor="text2" w:themeShade="BF"/>
              <w:sz w:val="18"/>
              <w:szCs w:val="18"/>
            </w:rPr>
          </w:pPr>
          <w:r w:rsidRPr="001E4CFB">
            <w:rPr>
              <w:rFonts w:ascii="GeosansLight" w:hAnsi="GeosansLight"/>
              <w:b/>
              <w:color w:val="323E4F" w:themeColor="text2" w:themeShade="BF"/>
              <w:sz w:val="18"/>
              <w:szCs w:val="18"/>
            </w:rPr>
            <w:t>CNR-ITAE</w:t>
          </w:r>
          <w:r w:rsidR="00A54544" w:rsidRPr="001E4CFB">
            <w:rPr>
              <w:rFonts w:ascii="GeosansLight" w:hAnsi="GeosansLight"/>
              <w:b/>
              <w:color w:val="323E4F" w:themeColor="text2" w:themeShade="BF"/>
              <w:sz w:val="18"/>
              <w:szCs w:val="18"/>
            </w:rPr>
            <w:t xml:space="preserve"> Via S. Lucia sopra Contesse n.</w:t>
          </w:r>
          <w:r w:rsidRPr="001E4CFB">
            <w:rPr>
              <w:rFonts w:ascii="GeosansLight" w:hAnsi="GeosansLight"/>
              <w:b/>
              <w:color w:val="323E4F" w:themeColor="text2" w:themeShade="BF"/>
              <w:sz w:val="18"/>
              <w:szCs w:val="18"/>
            </w:rPr>
            <w:t xml:space="preserve"> </w:t>
          </w:r>
          <w:r w:rsidR="00A54544" w:rsidRPr="001E4CFB">
            <w:rPr>
              <w:rFonts w:ascii="GeosansLight" w:hAnsi="GeosansLight"/>
              <w:b/>
              <w:color w:val="323E4F" w:themeColor="text2" w:themeShade="BF"/>
              <w:sz w:val="18"/>
              <w:szCs w:val="18"/>
            </w:rPr>
            <w:t>5</w:t>
          </w:r>
          <w:r w:rsidRPr="001E4CFB">
            <w:rPr>
              <w:rFonts w:ascii="GeosansLight" w:hAnsi="GeosansLight"/>
              <w:b/>
              <w:color w:val="323E4F" w:themeColor="text2" w:themeShade="BF"/>
              <w:sz w:val="18"/>
              <w:szCs w:val="18"/>
            </w:rPr>
            <w:t xml:space="preserve"> - </w:t>
          </w:r>
          <w:r w:rsidR="00A54544" w:rsidRPr="001E4CFB">
            <w:rPr>
              <w:rFonts w:ascii="GeosansLight" w:hAnsi="GeosansLight"/>
              <w:b/>
              <w:color w:val="323E4F" w:themeColor="text2" w:themeShade="BF"/>
              <w:sz w:val="18"/>
              <w:szCs w:val="18"/>
            </w:rPr>
            <w:t xml:space="preserve">98126 Messina, Italy  </w:t>
          </w:r>
        </w:p>
      </w:tc>
    </w:tr>
    <w:tr w:rsidR="00A54544" w:rsidRPr="00996DDF" w:rsidTr="00BB0958">
      <w:trPr>
        <w:trHeight w:val="12"/>
      </w:trPr>
      <w:tc>
        <w:tcPr>
          <w:tcW w:w="822" w:type="dxa"/>
          <w:vMerge/>
        </w:tcPr>
        <w:p w:rsidR="00A54544" w:rsidRPr="00BB0958" w:rsidRDefault="00A54544" w:rsidP="00B64C91">
          <w:pPr>
            <w:tabs>
              <w:tab w:val="left" w:pos="1940"/>
              <w:tab w:val="center" w:pos="4819"/>
              <w:tab w:val="left" w:pos="5980"/>
            </w:tabs>
            <w:rPr>
              <w:rFonts w:ascii="GeosansLight" w:hAnsi="GeosansLight"/>
              <w:color w:val="323E4F" w:themeColor="text2" w:themeShade="BF"/>
              <w:sz w:val="18"/>
              <w:szCs w:val="18"/>
            </w:rPr>
          </w:pPr>
        </w:p>
      </w:tc>
      <w:tc>
        <w:tcPr>
          <w:tcW w:w="8552" w:type="dxa"/>
        </w:tcPr>
        <w:p w:rsidR="00A54544" w:rsidRPr="001E4CFB" w:rsidRDefault="00A54544" w:rsidP="00D22ABE">
          <w:pPr>
            <w:tabs>
              <w:tab w:val="left" w:pos="1940"/>
              <w:tab w:val="center" w:pos="4819"/>
              <w:tab w:val="left" w:pos="5980"/>
            </w:tabs>
            <w:rPr>
              <w:rFonts w:ascii="GeosansLight" w:hAnsi="GeosansLight"/>
              <w:b/>
              <w:color w:val="323E4F" w:themeColor="text2" w:themeShade="BF"/>
              <w:sz w:val="18"/>
              <w:szCs w:val="18"/>
              <w:lang w:val="en-GB"/>
            </w:rPr>
          </w:pPr>
          <w:r w:rsidRPr="001E4CFB">
            <w:rPr>
              <w:rFonts w:ascii="GeosansLight" w:hAnsi="GeosansLight"/>
              <w:b/>
              <w:color w:val="323E4F" w:themeColor="text2" w:themeShade="BF"/>
              <w:sz w:val="18"/>
              <w:szCs w:val="18"/>
              <w:lang w:val="en-GB"/>
            </w:rPr>
            <w:t xml:space="preserve">Tel: +39 </w:t>
          </w:r>
          <w:r w:rsidR="00D22ABE" w:rsidRPr="001E4CFB">
            <w:rPr>
              <w:rFonts w:ascii="GeosansLight" w:hAnsi="GeosansLight"/>
              <w:b/>
              <w:color w:val="323E4F" w:themeColor="text2" w:themeShade="BF"/>
              <w:sz w:val="18"/>
              <w:szCs w:val="18"/>
              <w:lang w:val="en-GB"/>
            </w:rPr>
            <w:t>090 624246</w:t>
          </w:r>
          <w:r w:rsidRPr="001E4CFB">
            <w:rPr>
              <w:rFonts w:ascii="GeosansLight" w:hAnsi="GeosansLight"/>
              <w:b/>
              <w:color w:val="323E4F" w:themeColor="text2" w:themeShade="BF"/>
              <w:sz w:val="18"/>
              <w:szCs w:val="18"/>
              <w:lang w:val="en-GB"/>
            </w:rPr>
            <w:t xml:space="preserve"> </w:t>
          </w:r>
          <w:r w:rsidR="00D22ABE" w:rsidRPr="001E4CFB">
            <w:rPr>
              <w:rFonts w:ascii="GeosansLight" w:hAnsi="GeosansLight"/>
              <w:b/>
              <w:color w:val="323E4F" w:themeColor="text2" w:themeShade="BF"/>
              <w:sz w:val="18"/>
              <w:szCs w:val="18"/>
              <w:lang w:val="en-GB"/>
            </w:rPr>
            <w:t>F</w:t>
          </w:r>
          <w:r w:rsidRPr="001E4CFB">
            <w:rPr>
              <w:rFonts w:ascii="GeosansLight" w:hAnsi="GeosansLight"/>
              <w:b/>
              <w:color w:val="323E4F" w:themeColor="text2" w:themeShade="BF"/>
              <w:sz w:val="18"/>
              <w:szCs w:val="18"/>
              <w:lang w:val="en-GB"/>
            </w:rPr>
            <w:t xml:space="preserve">ax: +39 090 624247 </w:t>
          </w:r>
          <w:r w:rsidR="00D22ABE" w:rsidRPr="001E4CFB">
            <w:rPr>
              <w:rStyle w:val="Collegamentoipertestuale"/>
              <w:rFonts w:ascii="GeosansLight" w:hAnsi="GeosansLight"/>
              <w:b/>
              <w:color w:val="323E4F" w:themeColor="text2" w:themeShade="BF"/>
              <w:sz w:val="18"/>
              <w:szCs w:val="18"/>
              <w:u w:val="none"/>
              <w:lang w:val="en-GB"/>
            </w:rPr>
            <w:t>Mail</w:t>
          </w:r>
          <w:r w:rsidRPr="001E4CFB">
            <w:rPr>
              <w:rStyle w:val="Collegamentoipertestuale"/>
              <w:rFonts w:ascii="GeosansLight" w:hAnsi="GeosansLight"/>
              <w:b/>
              <w:color w:val="323E4F" w:themeColor="text2" w:themeShade="BF"/>
              <w:sz w:val="18"/>
              <w:szCs w:val="18"/>
              <w:u w:val="none"/>
              <w:lang w:val="en-GB"/>
            </w:rPr>
            <w:t xml:space="preserve">: </w:t>
          </w:r>
          <w:r w:rsidR="00D22ABE" w:rsidRPr="001E4CFB">
            <w:rPr>
              <w:rStyle w:val="Collegamentoipertestuale"/>
              <w:rFonts w:ascii="GeosansLight" w:hAnsi="GeosansLight"/>
              <w:b/>
              <w:color w:val="323E4F" w:themeColor="text2" w:themeShade="BF"/>
              <w:sz w:val="18"/>
              <w:szCs w:val="18"/>
              <w:u w:val="none"/>
              <w:lang w:val="en-GB"/>
            </w:rPr>
            <w:t>itae@itae.cnr.it</w:t>
          </w:r>
          <w:r w:rsidR="00D22ABE" w:rsidRPr="001E4CFB">
            <w:rPr>
              <w:rFonts w:ascii="GeosansLight" w:hAnsi="GeosansLight"/>
              <w:b/>
              <w:color w:val="323E4F" w:themeColor="text2" w:themeShade="BF"/>
              <w:sz w:val="18"/>
              <w:szCs w:val="18"/>
              <w:lang w:val="en-GB"/>
            </w:rPr>
            <w:t xml:space="preserve"> PEC:</w:t>
          </w:r>
          <w:r w:rsidRPr="001E4CFB">
            <w:rPr>
              <w:rFonts w:ascii="GeosansLight" w:hAnsi="GeosansLight"/>
              <w:b/>
              <w:color w:val="323E4F" w:themeColor="text2" w:themeShade="BF"/>
              <w:sz w:val="18"/>
              <w:szCs w:val="18"/>
              <w:lang w:val="en-GB"/>
            </w:rPr>
            <w:t xml:space="preserve"> </w:t>
          </w:r>
          <w:hyperlink r:id="rId2" w:history="1">
            <w:r w:rsidRPr="001E4CFB">
              <w:rPr>
                <w:rStyle w:val="Collegamentoipertestuale"/>
                <w:rFonts w:ascii="GeosansLight" w:hAnsi="GeosansLight"/>
                <w:b/>
                <w:color w:val="323E4F" w:themeColor="text2" w:themeShade="BF"/>
                <w:sz w:val="18"/>
                <w:szCs w:val="18"/>
                <w:u w:val="none"/>
                <w:lang w:val="en-GB"/>
              </w:rPr>
              <w:t>protocollo.itae@pec.cnr.it</w:t>
            </w:r>
          </w:hyperlink>
          <w:r w:rsidR="00A226B3" w:rsidRPr="001E4CFB">
            <w:rPr>
              <w:rStyle w:val="Collegamentoipertestuale"/>
              <w:rFonts w:ascii="GeosansLight" w:hAnsi="GeosansLight"/>
              <w:b/>
              <w:color w:val="323E4F" w:themeColor="text2" w:themeShade="BF"/>
              <w:sz w:val="18"/>
              <w:szCs w:val="18"/>
              <w:u w:val="none"/>
              <w:lang w:val="en-GB"/>
            </w:rPr>
            <w:t xml:space="preserve"> http//</w:t>
          </w:r>
          <w:r w:rsidRPr="001E4CFB">
            <w:rPr>
              <w:rStyle w:val="Collegamentoipertestuale"/>
              <w:rFonts w:ascii="GeosansLight" w:hAnsi="GeosansLight"/>
              <w:b/>
              <w:color w:val="323E4F" w:themeColor="text2" w:themeShade="BF"/>
              <w:sz w:val="18"/>
              <w:szCs w:val="18"/>
              <w:u w:val="none"/>
              <w:lang w:val="en-GB"/>
            </w:rPr>
            <w:t>www.itae.</w:t>
          </w:r>
          <w:r w:rsidR="00D22ABE" w:rsidRPr="001E4CFB">
            <w:rPr>
              <w:rStyle w:val="Collegamentoipertestuale"/>
              <w:rFonts w:ascii="GeosansLight" w:hAnsi="GeosansLight"/>
              <w:b/>
              <w:color w:val="323E4F" w:themeColor="text2" w:themeShade="BF"/>
              <w:sz w:val="18"/>
              <w:szCs w:val="18"/>
              <w:u w:val="none"/>
              <w:lang w:val="en-GB"/>
            </w:rPr>
            <w:t>cnr.it</w:t>
          </w:r>
          <w:r w:rsidR="00A226B3" w:rsidRPr="001E4CFB">
            <w:rPr>
              <w:rStyle w:val="Collegamentoipertestuale"/>
              <w:rFonts w:ascii="GeosansLight" w:hAnsi="GeosansLight"/>
              <w:b/>
              <w:color w:val="323E4F" w:themeColor="text2" w:themeShade="BF"/>
              <w:sz w:val="18"/>
              <w:szCs w:val="18"/>
              <w:u w:val="none"/>
              <w:lang w:val="en-GB"/>
            </w:rPr>
            <w:t>/</w:t>
          </w:r>
        </w:p>
      </w:tc>
    </w:tr>
  </w:tbl>
  <w:p w:rsidR="00A54544" w:rsidRPr="00A54544" w:rsidRDefault="00A54544" w:rsidP="00BB0958">
    <w:pPr>
      <w:tabs>
        <w:tab w:val="left" w:pos="1940"/>
        <w:tab w:val="center" w:pos="4819"/>
        <w:tab w:val="left" w:pos="5980"/>
      </w:tabs>
      <w:rPr>
        <w:rFonts w:ascii="GeosansLight" w:hAnsi="GeosansLight"/>
        <w:color w:val="323E4F" w:themeColor="text2" w:themeShade="BF"/>
        <w:sz w:val="17"/>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C5" w:rsidRDefault="004B57C5" w:rsidP="00611CF6">
      <w:r>
        <w:separator/>
      </w:r>
    </w:p>
  </w:footnote>
  <w:footnote w:type="continuationSeparator" w:id="0">
    <w:p w:rsidR="004B57C5" w:rsidRDefault="004B57C5" w:rsidP="0061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9066"/>
    </w:tblGrid>
    <w:tr w:rsidR="00CA78E5" w:rsidRPr="00CA78E5" w:rsidTr="00D22ABE">
      <w:tc>
        <w:tcPr>
          <w:tcW w:w="562" w:type="dxa"/>
        </w:tcPr>
        <w:p w:rsidR="00A54544" w:rsidRPr="00CA78E5" w:rsidRDefault="00A54544" w:rsidP="00A54544">
          <w:pPr>
            <w:rPr>
              <w:b/>
              <w:color w:val="002F5F"/>
            </w:rPr>
          </w:pPr>
          <w:r w:rsidRPr="00CA78E5">
            <w:rPr>
              <w:b/>
              <w:noProof/>
              <w:color w:val="002F5F"/>
            </w:rPr>
            <w:drawing>
              <wp:inline distT="0" distB="0" distL="0" distR="0">
                <wp:extent cx="279779" cy="286219"/>
                <wp:effectExtent l="0" t="0" r="6350" b="0"/>
                <wp:docPr id="2" name="Immagine 2" descr="Risultati immagini per c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nr"/>
                        <pic:cNvPicPr>
                          <a:picLocks noChangeAspect="1" noChangeArrowheads="1"/>
                        </pic:cNvPicPr>
                      </pic:nvPicPr>
                      <pic:blipFill rotWithShape="1">
                        <a:blip r:embed="rId1">
                          <a:extLst>
                            <a:ext uri="{28A0092B-C50C-407E-A947-70E740481C1C}">
                              <a14:useLocalDpi xmlns:a14="http://schemas.microsoft.com/office/drawing/2010/main" val="0"/>
                            </a:ext>
                          </a:extLst>
                        </a:blip>
                        <a:srcRect l="21563" t="12813" r="24189" b="18946"/>
                        <a:stretch/>
                      </pic:blipFill>
                      <pic:spPr bwMode="auto">
                        <a:xfrm>
                          <a:off x="0" y="0"/>
                          <a:ext cx="295835" cy="3026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066" w:type="dxa"/>
        </w:tcPr>
        <w:p w:rsidR="00A54544" w:rsidRPr="00CA78E5" w:rsidRDefault="00C02E5C" w:rsidP="00A54544">
          <w:pPr>
            <w:spacing w:before="120"/>
            <w:rPr>
              <w:rFonts w:ascii="GeosansLight" w:hAnsi="GeosansLight"/>
              <w:b/>
              <w:color w:val="002F5F"/>
              <w:sz w:val="28"/>
              <w:szCs w:val="28"/>
            </w:rPr>
          </w:pPr>
          <w:r w:rsidRPr="00CA78E5">
            <w:rPr>
              <w:rFonts w:ascii="GeosansLight" w:hAnsi="GeosansLight"/>
              <w:b/>
              <w:color w:val="002F5F"/>
              <w:sz w:val="28"/>
              <w:szCs w:val="28"/>
            </w:rPr>
            <w:t xml:space="preserve"> </w:t>
          </w:r>
          <w:r w:rsidR="00A54544" w:rsidRPr="00CA78E5">
            <w:rPr>
              <w:rFonts w:ascii="GeosansLight" w:hAnsi="GeosansLight"/>
              <w:b/>
              <w:color w:val="002F5F"/>
              <w:sz w:val="28"/>
              <w:szCs w:val="28"/>
            </w:rPr>
            <w:t>Consiglio Nazionale delle Ricerche</w:t>
          </w:r>
        </w:p>
      </w:tc>
    </w:tr>
    <w:tr w:rsidR="007A13F2" w:rsidRPr="00CA78E5" w:rsidTr="00D22ABE">
      <w:tc>
        <w:tcPr>
          <w:tcW w:w="9628" w:type="dxa"/>
          <w:gridSpan w:val="2"/>
        </w:tcPr>
        <w:p w:rsidR="00A54544" w:rsidRPr="00CA78E5" w:rsidRDefault="00A54544" w:rsidP="00A54544">
          <w:pPr>
            <w:rPr>
              <w:rFonts w:ascii="GeosansLight" w:hAnsi="GeosansLight"/>
              <w:b/>
              <w:color w:val="002F5F"/>
              <w:sz w:val="20"/>
              <w:szCs w:val="20"/>
            </w:rPr>
          </w:pPr>
          <w:r w:rsidRPr="00CA78E5">
            <w:rPr>
              <w:rFonts w:ascii="GeosansLight" w:hAnsi="GeosansLight"/>
              <w:b/>
              <w:color w:val="002F5F"/>
              <w:sz w:val="20"/>
              <w:szCs w:val="20"/>
            </w:rPr>
            <w:t>Istituto di Tecnologie Avanzate per l’Energia “Nicola Giordano”</w:t>
          </w:r>
        </w:p>
      </w:tc>
    </w:tr>
  </w:tbl>
  <w:p w:rsidR="00A54544" w:rsidRPr="00CA78E5" w:rsidRDefault="00A54544" w:rsidP="00DE4B25">
    <w:pPr>
      <w:pStyle w:val="Intestazione"/>
      <w:rPr>
        <w:color w:val="002F5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E5" w:rsidRDefault="00CA78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4D1"/>
    <w:multiLevelType w:val="hybridMultilevel"/>
    <w:tmpl w:val="1A743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D475C"/>
    <w:multiLevelType w:val="hybridMultilevel"/>
    <w:tmpl w:val="7D244CFA"/>
    <w:lvl w:ilvl="0" w:tplc="63D8DD7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922B4F"/>
    <w:multiLevelType w:val="hybridMultilevel"/>
    <w:tmpl w:val="46EE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8563E6"/>
    <w:multiLevelType w:val="hybridMultilevel"/>
    <w:tmpl w:val="7708D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14022D"/>
    <w:multiLevelType w:val="hybridMultilevel"/>
    <w:tmpl w:val="4560D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1C724C"/>
    <w:multiLevelType w:val="hybridMultilevel"/>
    <w:tmpl w:val="B84AA444"/>
    <w:lvl w:ilvl="0" w:tplc="90188CA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172367"/>
    <w:multiLevelType w:val="hybridMultilevel"/>
    <w:tmpl w:val="28CA2564"/>
    <w:lvl w:ilvl="0" w:tplc="C6646DA8">
      <w:start w:val="1"/>
      <w:numFmt w:val="decimal"/>
      <w:pStyle w:val="StileBando"/>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5AA770B3"/>
    <w:multiLevelType w:val="hybridMultilevel"/>
    <w:tmpl w:val="CFC2EC18"/>
    <w:lvl w:ilvl="0" w:tplc="90188CAC">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9D2049"/>
    <w:multiLevelType w:val="multilevel"/>
    <w:tmpl w:val="8A5C5DC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8"/>
  </w:num>
  <w:num w:numId="4">
    <w:abstractNumId w:val="7"/>
  </w:num>
  <w:num w:numId="5">
    <w:abstractNumId w:val="2"/>
  </w:num>
  <w:num w:numId="6">
    <w:abstractNumId w:val="5"/>
  </w:num>
  <w:num w:numId="7">
    <w:abstractNumId w:val="4"/>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Y0MrU0MTGzsDA1MTdS0lEKTi0uzszPAykwrAUAA9uIWywAAAA="/>
  </w:docVars>
  <w:rsids>
    <w:rsidRoot w:val="00611CF6"/>
    <w:rsid w:val="0006190B"/>
    <w:rsid w:val="00070393"/>
    <w:rsid w:val="00086262"/>
    <w:rsid w:val="00087005"/>
    <w:rsid w:val="000A1826"/>
    <w:rsid w:val="000A248B"/>
    <w:rsid w:val="000B434A"/>
    <w:rsid w:val="000D0AA5"/>
    <w:rsid w:val="000D5B1C"/>
    <w:rsid w:val="00114F2A"/>
    <w:rsid w:val="00123E65"/>
    <w:rsid w:val="00154D82"/>
    <w:rsid w:val="001A1EF8"/>
    <w:rsid w:val="001E091A"/>
    <w:rsid w:val="001E4CFB"/>
    <w:rsid w:val="00203F6F"/>
    <w:rsid w:val="00206F84"/>
    <w:rsid w:val="00207BD3"/>
    <w:rsid w:val="002164EA"/>
    <w:rsid w:val="00217C13"/>
    <w:rsid w:val="002335E2"/>
    <w:rsid w:val="002517C6"/>
    <w:rsid w:val="00282395"/>
    <w:rsid w:val="00284F04"/>
    <w:rsid w:val="002A6977"/>
    <w:rsid w:val="002C20D8"/>
    <w:rsid w:val="00322620"/>
    <w:rsid w:val="003457F6"/>
    <w:rsid w:val="00374BF5"/>
    <w:rsid w:val="00393ADB"/>
    <w:rsid w:val="003A0382"/>
    <w:rsid w:val="003B36B4"/>
    <w:rsid w:val="003D3341"/>
    <w:rsid w:val="003E72C9"/>
    <w:rsid w:val="003F7C88"/>
    <w:rsid w:val="00431525"/>
    <w:rsid w:val="0045529B"/>
    <w:rsid w:val="00476BC0"/>
    <w:rsid w:val="004B57C5"/>
    <w:rsid w:val="004C2EE3"/>
    <w:rsid w:val="00522E10"/>
    <w:rsid w:val="00542E14"/>
    <w:rsid w:val="005464F9"/>
    <w:rsid w:val="00557F57"/>
    <w:rsid w:val="00585D30"/>
    <w:rsid w:val="005A22EE"/>
    <w:rsid w:val="005A67E2"/>
    <w:rsid w:val="005B2461"/>
    <w:rsid w:val="005E3C60"/>
    <w:rsid w:val="005E5C47"/>
    <w:rsid w:val="005F58C3"/>
    <w:rsid w:val="00604102"/>
    <w:rsid w:val="00611CF6"/>
    <w:rsid w:val="00616118"/>
    <w:rsid w:val="0064498C"/>
    <w:rsid w:val="00654EDF"/>
    <w:rsid w:val="006A0288"/>
    <w:rsid w:val="007352A7"/>
    <w:rsid w:val="00735E5B"/>
    <w:rsid w:val="00751072"/>
    <w:rsid w:val="00772A86"/>
    <w:rsid w:val="007A0BC5"/>
    <w:rsid w:val="007A13F2"/>
    <w:rsid w:val="007A2F1E"/>
    <w:rsid w:val="007A3F0F"/>
    <w:rsid w:val="007D373D"/>
    <w:rsid w:val="007D5E41"/>
    <w:rsid w:val="007E175C"/>
    <w:rsid w:val="00806D2D"/>
    <w:rsid w:val="00814464"/>
    <w:rsid w:val="008874B3"/>
    <w:rsid w:val="008A304C"/>
    <w:rsid w:val="008E1665"/>
    <w:rsid w:val="00923228"/>
    <w:rsid w:val="00963069"/>
    <w:rsid w:val="009645E2"/>
    <w:rsid w:val="00996DDF"/>
    <w:rsid w:val="009C1B2D"/>
    <w:rsid w:val="00A226B3"/>
    <w:rsid w:val="00A3548E"/>
    <w:rsid w:val="00A40267"/>
    <w:rsid w:val="00A54544"/>
    <w:rsid w:val="00A63B16"/>
    <w:rsid w:val="00A86518"/>
    <w:rsid w:val="00AA47AF"/>
    <w:rsid w:val="00AB512A"/>
    <w:rsid w:val="00AB776B"/>
    <w:rsid w:val="00AC56B7"/>
    <w:rsid w:val="00AC5D91"/>
    <w:rsid w:val="00B25213"/>
    <w:rsid w:val="00B333E1"/>
    <w:rsid w:val="00B64C91"/>
    <w:rsid w:val="00B64F63"/>
    <w:rsid w:val="00BA3ABD"/>
    <w:rsid w:val="00BB0958"/>
    <w:rsid w:val="00BB0BD9"/>
    <w:rsid w:val="00BB1955"/>
    <w:rsid w:val="00BB6BDB"/>
    <w:rsid w:val="00BE47D9"/>
    <w:rsid w:val="00C02E5C"/>
    <w:rsid w:val="00C21232"/>
    <w:rsid w:val="00CA0195"/>
    <w:rsid w:val="00CA153F"/>
    <w:rsid w:val="00CA78E5"/>
    <w:rsid w:val="00CD1AE4"/>
    <w:rsid w:val="00D01762"/>
    <w:rsid w:val="00D028D0"/>
    <w:rsid w:val="00D22ABE"/>
    <w:rsid w:val="00D54814"/>
    <w:rsid w:val="00D73DC7"/>
    <w:rsid w:val="00D90FBC"/>
    <w:rsid w:val="00DA46A8"/>
    <w:rsid w:val="00DE4B25"/>
    <w:rsid w:val="00E0564F"/>
    <w:rsid w:val="00E45214"/>
    <w:rsid w:val="00E948AB"/>
    <w:rsid w:val="00EB48A7"/>
    <w:rsid w:val="00F0393C"/>
    <w:rsid w:val="00F349B3"/>
    <w:rsid w:val="00F768A6"/>
    <w:rsid w:val="00FA3E7B"/>
    <w:rsid w:val="00FC029D"/>
    <w:rsid w:val="00FC23D3"/>
    <w:rsid w:val="00FE74F7"/>
    <w:rsid w:val="00FF6D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FDC00-638F-4596-87A4-9998DB37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C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611CF6"/>
    <w:pPr>
      <w:keepNext/>
      <w:tabs>
        <w:tab w:val="right" w:pos="9072"/>
      </w:tabs>
      <w:autoSpaceDE w:val="0"/>
      <w:autoSpaceDN w:val="0"/>
      <w:jc w:val="center"/>
      <w:outlineLvl w:val="0"/>
    </w:pPr>
    <w:rPr>
      <w:rFonts w:eastAsia="Arial Unicode MS"/>
      <w:sz w:val="20"/>
    </w:rPr>
  </w:style>
  <w:style w:type="paragraph" w:styleId="Titolo2">
    <w:name w:val="heading 2"/>
    <w:basedOn w:val="Normale"/>
    <w:next w:val="Normale"/>
    <w:link w:val="Titolo2Carattere"/>
    <w:uiPriority w:val="99"/>
    <w:qFormat/>
    <w:rsid w:val="00611CF6"/>
    <w:pPr>
      <w:keepNext/>
      <w:tabs>
        <w:tab w:val="right" w:pos="9072"/>
      </w:tabs>
      <w:autoSpaceDE w:val="0"/>
      <w:autoSpaceDN w:val="0"/>
      <w:ind w:left="20"/>
      <w:jc w:val="center"/>
      <w:outlineLvl w:val="1"/>
    </w:pPr>
    <w:rPr>
      <w:rFonts w:eastAsia="Arial Unicode MS"/>
      <w:sz w:val="20"/>
    </w:rPr>
  </w:style>
  <w:style w:type="paragraph" w:styleId="Titolo3">
    <w:name w:val="heading 3"/>
    <w:basedOn w:val="Normale"/>
    <w:next w:val="Normale"/>
    <w:link w:val="Titolo3Carattere"/>
    <w:uiPriority w:val="99"/>
    <w:qFormat/>
    <w:rsid w:val="00611CF6"/>
    <w:pPr>
      <w:keepNext/>
      <w:tabs>
        <w:tab w:val="left" w:pos="5980"/>
      </w:tabs>
      <w:jc w:val="right"/>
      <w:outlineLvl w:val="2"/>
    </w:pPr>
    <w:rPr>
      <w:rFonts w:ascii="Bradley Hand ITC" w:hAnsi="Bradley Hand ITC"/>
      <w:b/>
      <w:bCs/>
      <w:i/>
      <w:iCs/>
      <w:color w:val="0000FF"/>
      <w:sz w:val="20"/>
    </w:rPr>
  </w:style>
  <w:style w:type="paragraph" w:styleId="Titolo4">
    <w:name w:val="heading 4"/>
    <w:basedOn w:val="Normale"/>
    <w:next w:val="Normale"/>
    <w:link w:val="Titolo4Carattere"/>
    <w:uiPriority w:val="99"/>
    <w:qFormat/>
    <w:rsid w:val="00611CF6"/>
    <w:pPr>
      <w:keepNext/>
      <w:ind w:left="426"/>
      <w:outlineLvl w:val="3"/>
    </w:pPr>
    <w:rPr>
      <w:szCs w:val="20"/>
      <w:lang w:eastAsia="en-US"/>
    </w:rPr>
  </w:style>
  <w:style w:type="paragraph" w:styleId="Titolo5">
    <w:name w:val="heading 5"/>
    <w:basedOn w:val="Normale"/>
    <w:next w:val="Normale"/>
    <w:link w:val="Titolo5Carattere"/>
    <w:uiPriority w:val="99"/>
    <w:qFormat/>
    <w:rsid w:val="00611CF6"/>
    <w:pPr>
      <w:keepNext/>
      <w:keepLines/>
      <w:spacing w:before="40"/>
      <w:outlineLvl w:val="4"/>
    </w:pPr>
    <w:rPr>
      <w:rFonts w:ascii="Cambria" w:hAnsi="Cambria"/>
      <w:color w:val="365F91"/>
    </w:rPr>
  </w:style>
  <w:style w:type="paragraph" w:styleId="Titolo7">
    <w:name w:val="heading 7"/>
    <w:basedOn w:val="Normale"/>
    <w:next w:val="Normale"/>
    <w:link w:val="Titolo7Carattere"/>
    <w:uiPriority w:val="99"/>
    <w:qFormat/>
    <w:rsid w:val="00611CF6"/>
    <w:pPr>
      <w:keepNext/>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1CF6"/>
    <w:pPr>
      <w:tabs>
        <w:tab w:val="center" w:pos="4819"/>
        <w:tab w:val="right" w:pos="9638"/>
      </w:tabs>
    </w:pPr>
  </w:style>
  <w:style w:type="character" w:customStyle="1" w:styleId="IntestazioneCarattere">
    <w:name w:val="Intestazione Carattere"/>
    <w:basedOn w:val="Carpredefinitoparagrafo"/>
    <w:link w:val="Intestazione"/>
    <w:uiPriority w:val="99"/>
    <w:rsid w:val="00611CF6"/>
  </w:style>
  <w:style w:type="paragraph" w:styleId="Pidipagina">
    <w:name w:val="footer"/>
    <w:basedOn w:val="Normale"/>
    <w:link w:val="PidipaginaCarattere"/>
    <w:uiPriority w:val="99"/>
    <w:unhideWhenUsed/>
    <w:rsid w:val="00611CF6"/>
    <w:pPr>
      <w:tabs>
        <w:tab w:val="center" w:pos="4819"/>
        <w:tab w:val="right" w:pos="9638"/>
      </w:tabs>
    </w:pPr>
  </w:style>
  <w:style w:type="character" w:customStyle="1" w:styleId="PidipaginaCarattere">
    <w:name w:val="Piè di pagina Carattere"/>
    <w:basedOn w:val="Carpredefinitoparagrafo"/>
    <w:link w:val="Pidipagina"/>
    <w:uiPriority w:val="99"/>
    <w:rsid w:val="00611CF6"/>
  </w:style>
  <w:style w:type="character" w:customStyle="1" w:styleId="Titolo3Carattere">
    <w:name w:val="Titolo 3 Carattere"/>
    <w:basedOn w:val="Carpredefinitoparagrafo"/>
    <w:link w:val="Titolo3"/>
    <w:uiPriority w:val="99"/>
    <w:rsid w:val="00611CF6"/>
    <w:rPr>
      <w:rFonts w:ascii="Bradley Hand ITC" w:eastAsia="Times New Roman" w:hAnsi="Bradley Hand ITC" w:cs="Times New Roman"/>
      <w:b/>
      <w:bCs/>
      <w:i/>
      <w:iCs/>
      <w:color w:val="0000FF"/>
      <w:sz w:val="20"/>
      <w:szCs w:val="24"/>
      <w:lang w:eastAsia="it-IT"/>
    </w:rPr>
  </w:style>
  <w:style w:type="paragraph" w:customStyle="1" w:styleId="a">
    <w:basedOn w:val="Normale"/>
    <w:next w:val="Corpotesto"/>
    <w:link w:val="CorpotestoCarattere"/>
    <w:uiPriority w:val="99"/>
    <w:rsid w:val="00611CF6"/>
    <w:pPr>
      <w:tabs>
        <w:tab w:val="left" w:pos="5980"/>
      </w:tabs>
      <w:jc w:val="right"/>
    </w:pPr>
    <w:rPr>
      <w:rFonts w:ascii="Bradley Hand ITC" w:hAnsi="Bradley Hand ITC"/>
      <w:b/>
      <w:bCs/>
      <w:color w:val="0000FF"/>
      <w:sz w:val="18"/>
    </w:rPr>
  </w:style>
  <w:style w:type="character" w:customStyle="1" w:styleId="CorpotestoCarattere">
    <w:name w:val="Corpo testo Carattere"/>
    <w:link w:val="a"/>
    <w:uiPriority w:val="99"/>
    <w:locked/>
    <w:rsid w:val="00611CF6"/>
    <w:rPr>
      <w:rFonts w:ascii="Bradley Hand ITC" w:hAnsi="Bradley Hand ITC"/>
      <w:b/>
      <w:bCs/>
      <w:color w:val="0000FF"/>
      <w:sz w:val="18"/>
      <w:szCs w:val="24"/>
    </w:rPr>
  </w:style>
  <w:style w:type="paragraph" w:styleId="Corpotesto">
    <w:name w:val="Body Text"/>
    <w:basedOn w:val="Normale"/>
    <w:link w:val="CorpotestoCarattere1"/>
    <w:uiPriority w:val="99"/>
    <w:unhideWhenUsed/>
    <w:rsid w:val="00611CF6"/>
    <w:pPr>
      <w:spacing w:after="120"/>
    </w:pPr>
  </w:style>
  <w:style w:type="character" w:customStyle="1" w:styleId="CorpotestoCarattere1">
    <w:name w:val="Corpo testo Carattere1"/>
    <w:basedOn w:val="Carpredefinitoparagrafo"/>
    <w:link w:val="Corpotesto"/>
    <w:uiPriority w:val="99"/>
    <w:semiHidden/>
    <w:rsid w:val="00611CF6"/>
  </w:style>
  <w:style w:type="character" w:customStyle="1" w:styleId="Titolo1Carattere">
    <w:name w:val="Titolo 1 Carattere"/>
    <w:basedOn w:val="Carpredefinitoparagrafo"/>
    <w:link w:val="Titolo1"/>
    <w:uiPriority w:val="99"/>
    <w:rsid w:val="00611CF6"/>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uiPriority w:val="99"/>
    <w:rsid w:val="00611CF6"/>
    <w:rPr>
      <w:rFonts w:ascii="Times New Roman" w:eastAsia="Arial Unicode MS" w:hAnsi="Times New Roman" w:cs="Times New Roman"/>
      <w:sz w:val="20"/>
      <w:szCs w:val="24"/>
      <w:lang w:eastAsia="it-IT"/>
    </w:rPr>
  </w:style>
  <w:style w:type="character" w:customStyle="1" w:styleId="Titolo4Carattere">
    <w:name w:val="Titolo 4 Carattere"/>
    <w:basedOn w:val="Carpredefinitoparagrafo"/>
    <w:link w:val="Titolo4"/>
    <w:uiPriority w:val="99"/>
    <w:rsid w:val="00611CF6"/>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9"/>
    <w:rsid w:val="00611CF6"/>
    <w:rPr>
      <w:rFonts w:ascii="Cambria" w:eastAsia="Times New Roman" w:hAnsi="Cambria" w:cs="Times New Roman"/>
      <w:color w:val="365F91"/>
      <w:sz w:val="24"/>
      <w:szCs w:val="24"/>
      <w:lang w:eastAsia="it-IT"/>
    </w:rPr>
  </w:style>
  <w:style w:type="character" w:customStyle="1" w:styleId="Titolo7Carattere">
    <w:name w:val="Titolo 7 Carattere"/>
    <w:basedOn w:val="Carpredefinitoparagrafo"/>
    <w:link w:val="Titolo7"/>
    <w:uiPriority w:val="99"/>
    <w:rsid w:val="00611CF6"/>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611C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CF6"/>
    <w:rPr>
      <w:rFonts w:ascii="Tahoma" w:eastAsia="Times New Roman" w:hAnsi="Tahoma" w:cs="Tahoma"/>
      <w:sz w:val="16"/>
      <w:szCs w:val="16"/>
      <w:lang w:eastAsia="it-IT"/>
    </w:rPr>
  </w:style>
  <w:style w:type="table" w:styleId="Grigliatabella">
    <w:name w:val="Table Grid"/>
    <w:basedOn w:val="Tabellanormale"/>
    <w:rsid w:val="00611CF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611CF6"/>
    <w:rPr>
      <w:rFonts w:cs="Times New Roman"/>
      <w:color w:val="0000FF"/>
      <w:u w:val="single"/>
    </w:rPr>
  </w:style>
  <w:style w:type="character" w:styleId="Collegamentovisitato">
    <w:name w:val="FollowedHyperlink"/>
    <w:uiPriority w:val="99"/>
    <w:rsid w:val="00611CF6"/>
    <w:rPr>
      <w:rFonts w:cs="Times New Roman"/>
      <w:color w:val="800080"/>
      <w:u w:val="single"/>
    </w:rPr>
  </w:style>
  <w:style w:type="paragraph" w:styleId="Rientrocorpodeltesto2">
    <w:name w:val="Body Text Indent 2"/>
    <w:basedOn w:val="Normale"/>
    <w:link w:val="Rientrocorpodeltesto2Carattere"/>
    <w:uiPriority w:val="99"/>
    <w:rsid w:val="00611CF6"/>
    <w:pPr>
      <w:tabs>
        <w:tab w:val="right" w:pos="9072"/>
      </w:tabs>
      <w:autoSpaceDE w:val="0"/>
      <w:autoSpaceDN w:val="0"/>
      <w:ind w:left="20"/>
      <w:jc w:val="both"/>
    </w:pPr>
    <w:rPr>
      <w:sz w:val="20"/>
    </w:rPr>
  </w:style>
  <w:style w:type="character" w:customStyle="1" w:styleId="Rientrocorpodeltesto2Carattere">
    <w:name w:val="Rientro corpo del testo 2 Carattere"/>
    <w:basedOn w:val="Carpredefinitoparagrafo"/>
    <w:link w:val="Rientrocorpodeltesto2"/>
    <w:uiPriority w:val="99"/>
    <w:rsid w:val="00611CF6"/>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uiPriority w:val="99"/>
    <w:rsid w:val="00611CF6"/>
    <w:pPr>
      <w:tabs>
        <w:tab w:val="right" w:pos="9072"/>
      </w:tabs>
      <w:autoSpaceDE w:val="0"/>
      <w:autoSpaceDN w:val="0"/>
      <w:ind w:left="284" w:hanging="264"/>
      <w:jc w:val="both"/>
    </w:pPr>
    <w:rPr>
      <w:sz w:val="20"/>
    </w:rPr>
  </w:style>
  <w:style w:type="character" w:customStyle="1" w:styleId="RientrocorpodeltestoCarattere">
    <w:name w:val="Rientro corpo del testo Carattere"/>
    <w:basedOn w:val="Carpredefinitoparagrafo"/>
    <w:link w:val="Rientrocorpodeltesto"/>
    <w:uiPriority w:val="99"/>
    <w:rsid w:val="00611CF6"/>
    <w:rPr>
      <w:rFonts w:ascii="Times New Roman" w:eastAsia="Times New Roman" w:hAnsi="Times New Roman" w:cs="Times New Roman"/>
      <w:sz w:val="20"/>
      <w:szCs w:val="24"/>
      <w:lang w:eastAsia="it-IT"/>
    </w:rPr>
  </w:style>
  <w:style w:type="paragraph" w:styleId="Puntoelenco">
    <w:name w:val="List Bullet"/>
    <w:basedOn w:val="Normale"/>
    <w:autoRedefine/>
    <w:uiPriority w:val="99"/>
    <w:rsid w:val="00611CF6"/>
    <w:pPr>
      <w:tabs>
        <w:tab w:val="left" w:pos="0"/>
        <w:tab w:val="left" w:pos="11766"/>
      </w:tabs>
      <w:ind w:right="-30"/>
      <w:jc w:val="both"/>
    </w:pPr>
    <w:rPr>
      <w:bCs/>
    </w:rPr>
  </w:style>
  <w:style w:type="paragraph" w:styleId="Corpodeltesto2">
    <w:name w:val="Body Text 2"/>
    <w:basedOn w:val="Normale"/>
    <w:link w:val="Corpodeltesto2Carattere"/>
    <w:uiPriority w:val="99"/>
    <w:rsid w:val="00611CF6"/>
    <w:pPr>
      <w:jc w:val="both"/>
    </w:pPr>
    <w:rPr>
      <w:szCs w:val="20"/>
    </w:rPr>
  </w:style>
  <w:style w:type="character" w:customStyle="1" w:styleId="Corpodeltesto2Carattere">
    <w:name w:val="Corpo del testo 2 Carattere"/>
    <w:basedOn w:val="Carpredefinitoparagrafo"/>
    <w:link w:val="Corpodeltesto2"/>
    <w:uiPriority w:val="99"/>
    <w:rsid w:val="00611CF6"/>
    <w:rPr>
      <w:rFonts w:ascii="Times New Roman" w:eastAsia="Times New Roman" w:hAnsi="Times New Roman" w:cs="Times New Roman"/>
      <w:sz w:val="24"/>
      <w:szCs w:val="20"/>
      <w:lang w:eastAsia="it-IT"/>
    </w:rPr>
  </w:style>
  <w:style w:type="paragraph" w:styleId="Elenco">
    <w:name w:val="List"/>
    <w:basedOn w:val="Normale"/>
    <w:uiPriority w:val="99"/>
    <w:rsid w:val="00611CF6"/>
    <w:pPr>
      <w:ind w:left="283" w:hanging="283"/>
    </w:pPr>
    <w:rPr>
      <w:sz w:val="20"/>
      <w:szCs w:val="20"/>
    </w:rPr>
  </w:style>
  <w:style w:type="paragraph" w:styleId="NormaleWeb">
    <w:name w:val="Normal (Web)"/>
    <w:basedOn w:val="Normale"/>
    <w:link w:val="NormaleWebCarattere"/>
    <w:uiPriority w:val="99"/>
    <w:rsid w:val="00611CF6"/>
    <w:pPr>
      <w:spacing w:before="100" w:beforeAutospacing="1" w:after="100" w:afterAutospacing="1"/>
    </w:pPr>
    <w:rPr>
      <w:rFonts w:eastAsia="Calibri"/>
      <w:color w:val="000000"/>
      <w:szCs w:val="20"/>
    </w:rPr>
  </w:style>
  <w:style w:type="paragraph" w:styleId="Paragrafoelenco">
    <w:name w:val="List Paragraph"/>
    <w:basedOn w:val="Normale"/>
    <w:uiPriority w:val="99"/>
    <w:qFormat/>
    <w:rsid w:val="00611CF6"/>
    <w:pPr>
      <w:ind w:left="720"/>
      <w:contextualSpacing/>
    </w:pPr>
  </w:style>
  <w:style w:type="character" w:styleId="Enfasigrassetto">
    <w:name w:val="Strong"/>
    <w:uiPriority w:val="99"/>
    <w:qFormat/>
    <w:rsid w:val="00611CF6"/>
    <w:rPr>
      <w:rFonts w:cs="Times New Roman"/>
      <w:b/>
      <w:bCs/>
    </w:rPr>
  </w:style>
  <w:style w:type="character" w:customStyle="1" w:styleId="st">
    <w:name w:val="st"/>
    <w:uiPriority w:val="99"/>
    <w:rsid w:val="00611CF6"/>
    <w:rPr>
      <w:rFonts w:cs="Times New Roman"/>
    </w:rPr>
  </w:style>
  <w:style w:type="paragraph" w:customStyle="1" w:styleId="StileBando">
    <w:name w:val="Stile_Bando"/>
    <w:autoRedefine/>
    <w:uiPriority w:val="99"/>
    <w:rsid w:val="00611CF6"/>
    <w:pPr>
      <w:widowControl w:val="0"/>
      <w:numPr>
        <w:numId w:val="1"/>
      </w:numPr>
      <w:shd w:val="clear" w:color="auto" w:fill="FFFFFF"/>
      <w:autoSpaceDE w:val="0"/>
      <w:autoSpaceDN w:val="0"/>
      <w:spacing w:after="0" w:line="240" w:lineRule="auto"/>
      <w:ind w:left="720" w:hanging="360"/>
      <w:jc w:val="both"/>
    </w:pPr>
    <w:rPr>
      <w:rFonts w:ascii="Times New Roman" w:eastAsia="Times New Roman" w:hAnsi="Times New Roman" w:cs="Times New Roman"/>
      <w:bCs/>
      <w:color w:val="000000"/>
      <w:sz w:val="24"/>
      <w:szCs w:val="24"/>
      <w:lang w:eastAsia="it-IT"/>
    </w:rPr>
  </w:style>
  <w:style w:type="character" w:customStyle="1" w:styleId="NormaleWebCarattere">
    <w:name w:val="Normale (Web) Carattere"/>
    <w:link w:val="NormaleWeb"/>
    <w:uiPriority w:val="99"/>
    <w:locked/>
    <w:rsid w:val="00611CF6"/>
    <w:rPr>
      <w:rFonts w:ascii="Times New Roman" w:eastAsia="Calibri" w:hAnsi="Times New Roman" w:cs="Times New Roman"/>
      <w:color w:val="000000"/>
      <w:sz w:val="24"/>
      <w:szCs w:val="20"/>
      <w:lang w:eastAsia="it-IT"/>
    </w:rPr>
  </w:style>
  <w:style w:type="paragraph" w:styleId="Testonotaapidipagina">
    <w:name w:val="footnote text"/>
    <w:basedOn w:val="Normale"/>
    <w:link w:val="TestonotaapidipaginaCarattere"/>
    <w:uiPriority w:val="99"/>
    <w:semiHidden/>
    <w:rsid w:val="00611CF6"/>
    <w:rPr>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611CF6"/>
    <w:rPr>
      <w:rFonts w:ascii="Times New Roman" w:eastAsia="Times New Roman" w:hAnsi="Times New Roman" w:cs="Times New Roman"/>
      <w:sz w:val="20"/>
      <w:szCs w:val="20"/>
    </w:rPr>
  </w:style>
  <w:style w:type="character" w:styleId="Rimandonotaapidipagina">
    <w:name w:val="footnote reference"/>
    <w:uiPriority w:val="99"/>
    <w:semiHidden/>
    <w:rsid w:val="00611CF6"/>
    <w:rPr>
      <w:rFonts w:cs="Times New Roman"/>
      <w:vertAlign w:val="superscript"/>
    </w:rPr>
  </w:style>
  <w:style w:type="character" w:styleId="Numeropagina">
    <w:name w:val="page number"/>
    <w:uiPriority w:val="99"/>
    <w:rsid w:val="00611CF6"/>
    <w:rPr>
      <w:rFonts w:cs="Times New Roman"/>
    </w:rPr>
  </w:style>
  <w:style w:type="paragraph" w:styleId="Testonormale">
    <w:name w:val="Plain Text"/>
    <w:basedOn w:val="Normale"/>
    <w:link w:val="TestonormaleCarattere"/>
    <w:uiPriority w:val="99"/>
    <w:rsid w:val="00611CF6"/>
    <w:rPr>
      <w:rFonts w:ascii="Courier New" w:hAnsi="Courier New"/>
      <w:sz w:val="20"/>
      <w:szCs w:val="20"/>
    </w:rPr>
  </w:style>
  <w:style w:type="character" w:customStyle="1" w:styleId="TestonormaleCarattere">
    <w:name w:val="Testo normale Carattere"/>
    <w:basedOn w:val="Carpredefinitoparagrafo"/>
    <w:link w:val="Testonormale"/>
    <w:uiPriority w:val="99"/>
    <w:rsid w:val="00611CF6"/>
    <w:rPr>
      <w:rFonts w:ascii="Courier New" w:eastAsia="Times New Roman" w:hAnsi="Courier New" w:cs="Times New Roman"/>
      <w:sz w:val="20"/>
      <w:szCs w:val="20"/>
      <w:lang w:eastAsia="it-IT"/>
    </w:rPr>
  </w:style>
  <w:style w:type="paragraph" w:customStyle="1" w:styleId="Default">
    <w:name w:val="Default"/>
    <w:uiPriority w:val="99"/>
    <w:rsid w:val="00611CF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itae@pec.cnr.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3662</Words>
  <Characters>20878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ITAE</Company>
  <LinksUpToDate>false</LinksUpToDate>
  <CharactersWithSpaces>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Siracusano</dc:creator>
  <cp:lastModifiedBy>Giorgio Dispenza</cp:lastModifiedBy>
  <cp:revision>20</cp:revision>
  <cp:lastPrinted>2020-11-02T09:22:00Z</cp:lastPrinted>
  <dcterms:created xsi:type="dcterms:W3CDTF">2021-04-14T10:46:00Z</dcterms:created>
  <dcterms:modified xsi:type="dcterms:W3CDTF">2021-04-16T12:37:00Z</dcterms:modified>
</cp:coreProperties>
</file>