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4" w:rsidRPr="00F23B3A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before="3" w:after="0" w:line="260" w:lineRule="exact"/>
        <w:rPr>
          <w:sz w:val="26"/>
          <w:szCs w:val="26"/>
        </w:rPr>
      </w:pPr>
    </w:p>
    <w:p w:rsidR="00294034" w:rsidRPr="00340DD6" w:rsidRDefault="00340DD6">
      <w:pPr>
        <w:spacing w:after="0" w:line="240" w:lineRule="auto"/>
        <w:ind w:left="171" w:right="-82"/>
        <w:rPr>
          <w:rFonts w:ascii="Tw Cen MT" w:eastAsia="Tw Cen MT" w:hAnsi="Tw Cen MT" w:cs="Tw Cen MT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1635760</wp:posOffset>
            </wp:positionH>
            <wp:positionV relativeFrom="paragraph">
              <wp:posOffset>-457835</wp:posOffset>
            </wp:positionV>
            <wp:extent cx="504190" cy="4622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C</w:t>
      </w:r>
      <w:r w:rsidR="00C615AC" w:rsidRPr="00340DD6">
        <w:rPr>
          <w:rFonts w:ascii="Tw Cen MT" w:eastAsia="Tw Cen MT" w:hAnsi="Tw Cen MT" w:cs="Tw Cen MT"/>
          <w:color w:val="0E233D"/>
          <w:spacing w:val="2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n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s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g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Na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z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n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a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pacing w:val="-2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d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pacing w:val="-2"/>
          <w:sz w:val="28"/>
          <w:szCs w:val="28"/>
          <w:lang w:val="it-IT"/>
        </w:rPr>
        <w:t>R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ic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rche</w:t>
      </w:r>
    </w:p>
    <w:p w:rsidR="00294034" w:rsidRPr="00340DD6" w:rsidRDefault="00C615AC">
      <w:pPr>
        <w:spacing w:after="0" w:line="255" w:lineRule="exact"/>
        <w:ind w:left="1016" w:right="-20"/>
        <w:rPr>
          <w:rFonts w:ascii="Tw Cen MT" w:eastAsia="Tw Cen MT" w:hAnsi="Tw Cen MT" w:cs="Tw Cen MT"/>
          <w:sz w:val="24"/>
          <w:szCs w:val="24"/>
          <w:lang w:val="it-IT"/>
        </w:rPr>
      </w:pPr>
      <w:r w:rsidRPr="00340DD6">
        <w:rPr>
          <w:rFonts w:ascii="Tw Cen MT" w:eastAsia="Tw Cen MT" w:hAnsi="Tw Cen MT" w:cs="Tw Cen MT"/>
          <w:color w:val="0E233D"/>
          <w:spacing w:val="-1"/>
          <w:sz w:val="24"/>
          <w:szCs w:val="24"/>
          <w:lang w:val="it-IT"/>
        </w:rPr>
        <w:t>D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irezione</w:t>
      </w:r>
      <w:r w:rsidRPr="00340DD6">
        <w:rPr>
          <w:rFonts w:ascii="Tw Cen MT" w:eastAsia="Tw Cen MT" w:hAnsi="Tw Cen MT" w:cs="Tw Cen MT"/>
          <w:color w:val="0E233D"/>
          <w:spacing w:val="1"/>
          <w:sz w:val="24"/>
          <w:szCs w:val="24"/>
          <w:lang w:val="it-IT"/>
        </w:rPr>
        <w:t xml:space="preserve"> 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Gener</w:t>
      </w:r>
      <w:r w:rsidRPr="00340DD6">
        <w:rPr>
          <w:rFonts w:ascii="Tw Cen MT" w:eastAsia="Tw Cen MT" w:hAnsi="Tw Cen MT" w:cs="Tw Cen MT"/>
          <w:color w:val="0E233D"/>
          <w:spacing w:val="-1"/>
          <w:sz w:val="24"/>
          <w:szCs w:val="24"/>
          <w:lang w:val="it-IT"/>
        </w:rPr>
        <w:t>a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le</w:t>
      </w:r>
    </w:p>
    <w:p w:rsidR="00294034" w:rsidRPr="00340DD6" w:rsidRDefault="00C615AC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DD6">
        <w:rPr>
          <w:lang w:val="it-IT"/>
        </w:rPr>
        <w:br w:type="column"/>
      </w:r>
      <w:r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Ci</w:t>
      </w:r>
      <w:r w:rsidRPr="00340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rc</w:t>
      </w:r>
      <w:r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olare</w:t>
      </w:r>
      <w:r w:rsidRPr="00340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340D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EA567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25</w:t>
      </w:r>
      <w:r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/ 201</w:t>
      </w:r>
      <w:r w:rsidR="00F23B3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294034" w:rsidRPr="00340DD6" w:rsidRDefault="00294034">
      <w:pPr>
        <w:spacing w:after="0"/>
        <w:rPr>
          <w:lang w:val="it-IT"/>
        </w:rPr>
        <w:sectPr w:rsidR="00294034" w:rsidRPr="00340DD6">
          <w:type w:val="continuous"/>
          <w:pgSz w:w="11920" w:h="16860"/>
          <w:pgMar w:top="360" w:right="1020" w:bottom="280" w:left="1020" w:header="720" w:footer="720" w:gutter="0"/>
          <w:cols w:num="2" w:space="720" w:equalWidth="0">
            <w:col w:w="4019" w:space="1051"/>
            <w:col w:w="4810"/>
          </w:cols>
        </w:sectPr>
      </w:pPr>
    </w:p>
    <w:p w:rsidR="00294034" w:rsidRPr="00340DD6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294034" w:rsidRPr="00340DD6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</w:p>
    <w:p w:rsidR="00340DD6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r w:rsidRPr="00340DD6">
        <w:rPr>
          <w:rFonts w:ascii="Times New Roman" w:hAnsi="Times New Roman" w:cs="Times New Roman"/>
          <w:sz w:val="24"/>
          <w:szCs w:val="24"/>
          <w:lang w:val="it-IT"/>
        </w:rPr>
        <w:t>Ai Dirigenti/Direttori/Responsabili</w:t>
      </w:r>
    </w:p>
    <w:p w:rsidR="00340DD6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r w:rsidRPr="00340DD6">
        <w:rPr>
          <w:rFonts w:ascii="Times New Roman" w:hAnsi="Times New Roman" w:cs="Times New Roman"/>
          <w:sz w:val="24"/>
          <w:szCs w:val="24"/>
          <w:lang w:val="it-IT"/>
        </w:rPr>
        <w:t>delle Unità Organiche e Strutture del CNR</w:t>
      </w:r>
    </w:p>
    <w:p w:rsidR="00294034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r w:rsidRPr="00340DD6">
        <w:rPr>
          <w:rFonts w:ascii="Times New Roman" w:hAnsi="Times New Roman" w:cs="Times New Roman"/>
          <w:sz w:val="24"/>
          <w:szCs w:val="24"/>
          <w:lang w:val="it-IT"/>
        </w:rPr>
        <w:t>Loro Sedi</w:t>
      </w:r>
    </w:p>
    <w:p w:rsidR="00340DD6" w:rsidRDefault="00340DD6" w:rsidP="00340DD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0DD6" w:rsidRDefault="00340DD6" w:rsidP="00340DD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001B" w:rsidRDefault="0018001B" w:rsidP="0018001B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F23B3A" w:rsidRDefault="0018001B" w:rsidP="00F23B3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8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Oggetto:</w:t>
      </w:r>
      <w:r w:rsidR="00F23B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Spese Generali Progetti PON Ric</w:t>
      </w:r>
      <w:r w:rsidR="00F23B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erca e Competitività 2007-2013;</w:t>
      </w:r>
    </w:p>
    <w:p w:rsidR="0018001B" w:rsidRPr="0018001B" w:rsidRDefault="0018001B" w:rsidP="00F23B3A">
      <w:pPr>
        <w:spacing w:after="0" w:line="240" w:lineRule="auto"/>
        <w:ind w:left="113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percentuale </w:t>
      </w:r>
      <w:r w:rsidR="00F23B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d’incidenza sulle spese del personale diretto per l’esercizio </w:t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201</w:t>
      </w:r>
      <w:r w:rsidR="00F23B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7</w:t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18001B" w:rsidRDefault="0018001B" w:rsidP="0018001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A567B" w:rsidRPr="0018001B" w:rsidRDefault="00EA567B" w:rsidP="0018001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18001B" w:rsidRDefault="0018001B" w:rsidP="001800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18001B" w:rsidRPr="0018001B" w:rsidRDefault="00F23B3A" w:rsidP="00EA567B">
      <w:pPr>
        <w:spacing w:before="120"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Con riferimento all'oggetto, si inoltra la tabella</w:t>
      </w:r>
      <w:r w:rsidR="0018001B"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così come da modello approvato</w:t>
      </w:r>
      <w:r w:rsidR="0018001B"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dal Ministero dell'Istruzione, dell'Università e della Ricerca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 relativa</w:t>
      </w:r>
      <w:r w:rsidR="0018001B"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alla percentuale di incidenza delle spese generali per l'anno 2017</w:t>
      </w:r>
      <w:r w:rsidR="0018001B"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 da utilizzare per la rendicontazione delle spese generali nell'ambito dei Progetti PON Ricerca e Competitività 2007-2013.</w:t>
      </w:r>
    </w:p>
    <w:p w:rsidR="0018001B" w:rsidRPr="0018001B" w:rsidRDefault="0018001B" w:rsidP="00EA567B">
      <w:pPr>
        <w:spacing w:before="120"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 tal proposito si ricorda la normativa vigente sui Fondi Strutturali per cui le spese generali: </w:t>
      </w:r>
      <w:r w:rsidRPr="00180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  <w:t>"debbono essere valorizzate in una percentuale del costo del personale che sia adeguatamente supportata dalla contabilità (generale ed analitica) aziendale e comunque non eccedente il 50% del costo del personale. Tale percentuale sarà determinata in base al rapporto tra le spese generali aziendali (riconducibili ad attività di Ricerca e Sviluppo) ed il costo del personale (dipendente e non dipendente), sulla base dei dati contabili relativi all'esercizio di riferimento durante il quale è stato svolto il progetto di ricerca"</w:t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340DD6" w:rsidRPr="0018001B" w:rsidRDefault="0018001B" w:rsidP="00EA567B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Si prega di trasmettere le presenti indicazioni a tutti i soggetti interessati.</w:t>
      </w:r>
    </w:p>
    <w:p w:rsidR="00340DD6" w:rsidRPr="00340DD6" w:rsidRDefault="00340DD6" w:rsidP="0034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340DD6" w:rsidRDefault="00340DD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40DD6" w:rsidRDefault="00EA567B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>IL DIRETTORE GENERALE</w:t>
      </w:r>
    </w:p>
    <w:p w:rsidR="00340DD6" w:rsidRDefault="00340DD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40DD6" w:rsidSect="00A92E6C">
      <w:type w:val="continuous"/>
      <w:pgSz w:w="11920" w:h="16860"/>
      <w:pgMar w:top="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AC" w:rsidRDefault="00C615AC" w:rsidP="00340DD6">
      <w:pPr>
        <w:spacing w:after="0" w:line="240" w:lineRule="auto"/>
      </w:pPr>
      <w:r>
        <w:separator/>
      </w:r>
    </w:p>
  </w:endnote>
  <w:endnote w:type="continuationSeparator" w:id="0">
    <w:p w:rsidR="00C615AC" w:rsidRDefault="00C615AC" w:rsidP="003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AC" w:rsidRDefault="00C615AC" w:rsidP="00340DD6">
      <w:pPr>
        <w:spacing w:after="0" w:line="240" w:lineRule="auto"/>
      </w:pPr>
      <w:r>
        <w:separator/>
      </w:r>
    </w:p>
  </w:footnote>
  <w:footnote w:type="continuationSeparator" w:id="0">
    <w:p w:rsidR="00C615AC" w:rsidRDefault="00C615AC" w:rsidP="0034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D3"/>
    <w:multiLevelType w:val="hybridMultilevel"/>
    <w:tmpl w:val="F920DBAA"/>
    <w:lvl w:ilvl="0" w:tplc="B5005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032EB"/>
    <w:multiLevelType w:val="hybridMultilevel"/>
    <w:tmpl w:val="29F4B97E"/>
    <w:lvl w:ilvl="0" w:tplc="24149B62">
      <w:start w:val="1"/>
      <w:numFmt w:val="bullet"/>
      <w:lvlText w:val="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4034"/>
    <w:rsid w:val="0018001B"/>
    <w:rsid w:val="002130C8"/>
    <w:rsid w:val="00294034"/>
    <w:rsid w:val="00340DD6"/>
    <w:rsid w:val="007B54C9"/>
    <w:rsid w:val="00A92E6C"/>
    <w:rsid w:val="00C615AC"/>
    <w:rsid w:val="00EA567B"/>
    <w:rsid w:val="00F2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D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DD6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D6"/>
  </w:style>
  <w:style w:type="paragraph" w:styleId="Pidipagina">
    <w:name w:val="footer"/>
    <w:basedOn w:val="Normale"/>
    <w:link w:val="Pidipagina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D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DD6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D6"/>
  </w:style>
  <w:style w:type="paragraph" w:styleId="Pidipagina">
    <w:name w:val="footer"/>
    <w:basedOn w:val="Normale"/>
    <w:link w:val="Pidipagina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Cesare Gigliozzi</cp:lastModifiedBy>
  <cp:revision>3</cp:revision>
  <dcterms:created xsi:type="dcterms:W3CDTF">2019-08-29T14:57:00Z</dcterms:created>
  <dcterms:modified xsi:type="dcterms:W3CDTF">2019-09-13T08:28:00Z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2018-10-25T00:00:00Z</vt:filetime>
  </property>
</Properties>
</file>