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3969"/>
      </w:tblGrid>
      <w:tr>
        <w:trPr>
          <w:cantSplit/>
          <w:trHeight w:val="720"/>
        </w:trPr>
        <w:tc>
          <w:tcPr>
            <w:tcW w:w="5954" w:type="dxa"/>
          </w:tcPr>
          <w:p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</w:p>
          <w:p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</w:p>
          <w:p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3695700" cy="5524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i/>
                <w:color w:val="17365D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color w:val="17365D"/>
              </w:rPr>
              <w:t xml:space="preserve">         Direzione Generale</w:t>
            </w:r>
          </w:p>
          <w:p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>
            <w:pPr>
              <w:ind w:left="-2338" w:firstLine="2338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>
            <w:pPr>
              <w:pStyle w:val="Intestazione"/>
              <w:tabs>
                <w:tab w:val="clear" w:pos="4819"/>
                <w:tab w:val="left" w:pos="2220"/>
              </w:tabs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Circolare n. 29 /2020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</w:rPr>
            </w:pPr>
          </w:p>
        </w:tc>
      </w:tr>
      <w:tr>
        <w:trPr>
          <w:cantSplit/>
        </w:trPr>
        <w:tc>
          <w:tcPr>
            <w:tcW w:w="5954" w:type="dxa"/>
          </w:tcPr>
          <w:p>
            <w:pPr>
              <w:pStyle w:val="Titolo7"/>
              <w:rPr>
                <w:b/>
              </w:rPr>
            </w:pPr>
          </w:p>
        </w:tc>
        <w:tc>
          <w:tcPr>
            <w:tcW w:w="567" w:type="dxa"/>
          </w:tcPr>
          <w:p>
            <w:pPr>
              <w:rPr>
                <w:sz w:val="24"/>
              </w:rPr>
            </w:pPr>
          </w:p>
        </w:tc>
        <w:tc>
          <w:tcPr>
            <w:tcW w:w="3969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after="200"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>Ai Dirigenti/Direttori/Responsabili delle Unità Organiche e Strutture del CNR</w:t>
      </w:r>
    </w:p>
    <w:p>
      <w:pPr>
        <w:ind w:right="96" w:firstLine="720"/>
        <w:jc w:val="both"/>
        <w:rPr>
          <w:sz w:val="24"/>
          <w:szCs w:val="24"/>
        </w:rPr>
      </w:pPr>
    </w:p>
    <w:p>
      <w:pPr>
        <w:ind w:right="96" w:firstLine="720"/>
        <w:jc w:val="both"/>
        <w:rPr>
          <w:sz w:val="24"/>
          <w:szCs w:val="24"/>
        </w:rPr>
      </w:pPr>
    </w:p>
    <w:p>
      <w:pPr>
        <w:ind w:left="284" w:right="284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OGGETTO:</w:t>
      </w:r>
      <w:r>
        <w:rPr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Autorizzazione alla consultazione dei certificati medici online - Fase transitoria “Passaggio dal PIN INPS allo SPID”</w:t>
      </w:r>
    </w:p>
    <w:p>
      <w:pPr>
        <w:ind w:left="284" w:right="284" w:firstLine="709"/>
        <w:jc w:val="both"/>
        <w:rPr>
          <w:iCs/>
          <w:sz w:val="24"/>
          <w:szCs w:val="24"/>
        </w:rPr>
      </w:pPr>
    </w:p>
    <w:p>
      <w:pPr>
        <w:ind w:left="284" w:right="284" w:firstLine="709"/>
        <w:jc w:val="both"/>
        <w:rPr>
          <w:iCs/>
          <w:sz w:val="24"/>
          <w:szCs w:val="24"/>
        </w:rPr>
      </w:pPr>
    </w:p>
    <w:p>
      <w:pPr>
        <w:ind w:left="284" w:right="284" w:firstLine="709"/>
        <w:jc w:val="both"/>
        <w:rPr>
          <w:iCs/>
          <w:sz w:val="24"/>
          <w:szCs w:val="24"/>
        </w:rPr>
      </w:pPr>
    </w:p>
    <w:p>
      <w:pPr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Si trasmette la Direttiva (All. A) predisposta dall’Ufficio Gestione delle Risorse Umane alla luce delle nuove disposizioni dettate dall’INPS con Circolare n. 87 del 17/07/2020 avente per oggetto “Switch-off del PIN Inps in favore del Sistema Pubblico di Identità Digitale (SPID)”.</w:t>
      </w:r>
    </w:p>
    <w:p>
      <w:pPr>
        <w:ind w:left="284" w:right="284" w:firstLine="709"/>
        <w:jc w:val="both"/>
        <w:rPr>
          <w:sz w:val="24"/>
          <w:szCs w:val="24"/>
        </w:rPr>
      </w:pPr>
    </w:p>
    <w:p>
      <w:pPr>
        <w:ind w:left="284" w:right="284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Per eventuali chiarimenti in merito a quanto previsto dalla presente circolare, le Segreterie delle Strutture in indirizzo potranno inviare le loro istanze all’indirizzo email </w:t>
      </w:r>
      <w:hyperlink r:id="rId9" w:history="1">
        <w:r>
          <w:rPr>
            <w:rStyle w:val="Collegamentoipertestuale"/>
            <w:iCs/>
            <w:sz w:val="24"/>
            <w:szCs w:val="24"/>
          </w:rPr>
          <w:t>aspettative@cnr.it</w:t>
        </w:r>
      </w:hyperlink>
      <w:r>
        <w:rPr>
          <w:iCs/>
          <w:sz w:val="24"/>
          <w:szCs w:val="24"/>
        </w:rPr>
        <w:t>.</w:t>
      </w:r>
    </w:p>
    <w:p>
      <w:pPr>
        <w:ind w:left="284" w:right="284" w:firstLine="424"/>
        <w:jc w:val="both"/>
        <w:rPr>
          <w:iCs/>
          <w:sz w:val="24"/>
          <w:szCs w:val="24"/>
        </w:rPr>
      </w:pPr>
    </w:p>
    <w:p>
      <w:pPr>
        <w:ind w:left="284" w:right="284" w:firstLine="709"/>
        <w:jc w:val="both"/>
        <w:rPr>
          <w:sz w:val="24"/>
          <w:szCs w:val="24"/>
        </w:rPr>
      </w:pPr>
    </w:p>
    <w:p>
      <w:pPr>
        <w:ind w:left="284" w:right="284" w:firstLine="709"/>
        <w:jc w:val="both"/>
        <w:rPr>
          <w:sz w:val="24"/>
          <w:szCs w:val="24"/>
        </w:rPr>
      </w:pPr>
    </w:p>
    <w:p>
      <w:pPr>
        <w:spacing w:line="360" w:lineRule="auto"/>
        <w:ind w:right="9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IL DIRETTORE GENERALE</w:t>
      </w: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ind w:left="284" w:right="284" w:firstLine="709"/>
        <w:jc w:val="both"/>
        <w:rPr>
          <w:color w:val="000000"/>
          <w:sz w:val="24"/>
          <w:szCs w:val="24"/>
        </w:rPr>
      </w:pPr>
    </w:p>
    <w:p>
      <w:pPr>
        <w:pStyle w:val="Paragrafoelenco1"/>
        <w:ind w:left="993" w:right="96"/>
        <w:rPr>
          <w:color w:val="000000"/>
          <w:sz w:val="18"/>
          <w:szCs w:val="18"/>
        </w:rPr>
      </w:pPr>
    </w:p>
    <w:p>
      <w:pPr>
        <w:pStyle w:val="Paragrafoelenco1"/>
        <w:ind w:left="993" w:right="96"/>
        <w:rPr>
          <w:color w:val="000000"/>
          <w:sz w:val="18"/>
          <w:szCs w:val="18"/>
        </w:rPr>
      </w:pPr>
    </w:p>
    <w:p>
      <w:pPr>
        <w:ind w:left="284" w:right="284"/>
        <w:jc w:val="both"/>
      </w:pPr>
      <w:r>
        <w:t>____________________________________</w:t>
      </w:r>
    </w:p>
    <w:p>
      <w:pPr>
        <w:ind w:left="284" w:right="284"/>
        <w:jc w:val="both"/>
      </w:pPr>
      <w:r>
        <w:t>Allegato:</w:t>
      </w:r>
    </w:p>
    <w:p>
      <w:pPr>
        <w:ind w:left="284" w:right="284"/>
        <w:jc w:val="both"/>
      </w:pPr>
    </w:p>
    <w:p>
      <w:pPr>
        <w:ind w:left="284" w:right="284"/>
        <w:jc w:val="both"/>
      </w:pPr>
      <w:r>
        <w:t>A) Direttiva “Autorizzazione alla consultazione dei certificati medici online - Fase transitoria “Passaggio dal PIN INPS allo SPID”” e relativi allegati.</w:t>
      </w:r>
    </w:p>
    <w:p>
      <w:pPr>
        <w:ind w:left="284" w:right="284"/>
        <w:jc w:val="both"/>
      </w:pPr>
    </w:p>
    <w:sectPr>
      <w:headerReference w:type="default" r:id="rId10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319EA"/>
    <w:multiLevelType w:val="hybridMultilevel"/>
    <w:tmpl w:val="9EB620BC"/>
    <w:lvl w:ilvl="0" w:tplc="5BB6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D5B20"/>
    <w:multiLevelType w:val="hybridMultilevel"/>
    <w:tmpl w:val="F3F82D86"/>
    <w:lvl w:ilvl="0" w:tplc="F94A55BE">
      <w:start w:val="1"/>
      <w:numFmt w:val="upp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BE5BE6"/>
    <w:multiLevelType w:val="hybridMultilevel"/>
    <w:tmpl w:val="A9AA53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5F292-47B8-4AA6-8BDC-428A919F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  <w:sz w:val="24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delblocco">
    <w:name w:val="Block Text"/>
    <w:basedOn w:val="Normale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rPr>
      <w:lang w:val="it-IT" w:eastAsia="it-IT" w:bidi="ar-S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Pr>
      <w:sz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rPr>
      <w:sz w:val="24"/>
      <w:szCs w:val="24"/>
    </w:rPr>
  </w:style>
  <w:style w:type="paragraph" w:customStyle="1" w:styleId="Paragrafoelenco1">
    <w:name w:val="Paragrafo elenco1"/>
    <w:pPr>
      <w:widowControl w:val="0"/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ettative@cn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2FE6-D7A1-4E3D-81AF-B0A9A1D0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4</TotalTime>
  <Pages>1</Pages>
  <Words>124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Cesare Gigliozzi</cp:lastModifiedBy>
  <cp:revision>4</cp:revision>
  <cp:lastPrinted>2014-03-26T12:11:00Z</cp:lastPrinted>
  <dcterms:created xsi:type="dcterms:W3CDTF">2020-11-11T08:36:00Z</dcterms:created>
  <dcterms:modified xsi:type="dcterms:W3CDTF">2020-11-13T13:00:00Z</dcterms:modified>
</cp:coreProperties>
</file>