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Corpotesto"/>
        <w:rPr>
          <w:rFonts w:ascii="Tw Cen MT"/>
          <w:sz w:val="26"/>
        </w:rPr>
      </w:pPr>
      <w:r>
        <w:br w:type="column"/>
      </w:r>
    </w:p>
    <w:p>
      <w:pPr>
        <w:pStyle w:val="Corpotesto"/>
        <w:spacing w:before="228"/>
        <w:ind w:hanging="284"/>
        <w:rPr>
          <w:sz w:val="22"/>
          <w:szCs w:val="22"/>
        </w:rPr>
      </w:pPr>
      <w:r>
        <w:rPr>
          <w:sz w:val="22"/>
          <w:szCs w:val="22"/>
        </w:rPr>
        <w:t>Ai Direttori/Dirigenti delle Unità Organiche e Strutture del CNR</w:t>
      </w:r>
    </w:p>
    <w:p>
      <w:pPr>
        <w:pStyle w:val="Corpotesto"/>
        <w:rPr>
          <w:sz w:val="22"/>
          <w:szCs w:val="22"/>
        </w:rPr>
      </w:pPr>
    </w:p>
    <w:p>
      <w:pPr>
        <w:pStyle w:val="Corpotesto"/>
        <w:spacing w:line="480" w:lineRule="auto"/>
        <w:ind w:right="2275"/>
        <w:rPr>
          <w:sz w:val="22"/>
          <w:szCs w:val="22"/>
        </w:rPr>
      </w:pPr>
      <w:r>
        <w:rPr>
          <w:sz w:val="22"/>
          <w:szCs w:val="22"/>
        </w:rPr>
        <w:t>Loro Sedi</w:t>
      </w:r>
    </w:p>
    <w:p>
      <w:pPr>
        <w:spacing w:line="480" w:lineRule="auto"/>
        <w:sectPr>
          <w:headerReference w:type="default" r:id="rId6"/>
          <w:type w:val="continuous"/>
          <w:pgSz w:w="11910" w:h="16840"/>
          <w:pgMar w:top="620" w:right="820" w:bottom="280" w:left="1080" w:header="720" w:footer="720" w:gutter="0"/>
          <w:cols w:num="2" w:space="720" w:equalWidth="0">
            <w:col w:w="4001" w:space="2288"/>
            <w:col w:w="3721"/>
          </w:cols>
        </w:sectPr>
      </w:pPr>
    </w:p>
    <w:p>
      <w:pPr>
        <w:pStyle w:val="Corpotesto"/>
        <w:rPr>
          <w:sz w:val="22"/>
          <w:szCs w:val="22"/>
        </w:rPr>
      </w:pPr>
    </w:p>
    <w:p>
      <w:pPr>
        <w:pStyle w:val="Corpotesto"/>
        <w:spacing w:before="230"/>
        <w:ind w:left="1276" w:right="674" w:hanging="9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sz w:val="22"/>
          <w:szCs w:val="22"/>
        </w:rPr>
        <w:tab/>
        <w:t>Trasmissione documento “Linee Guida - Programma biennale degli acquisti di beni e servizi di importo pari o superiore a 40.000,00 euro e relativi aggiornamenti annuali del Consiglio Nazionale delle Ricerche, annualità 2021-2022”</w:t>
      </w:r>
    </w:p>
    <w:p>
      <w:pPr>
        <w:pStyle w:val="Corpotesto"/>
        <w:rPr>
          <w:sz w:val="22"/>
          <w:szCs w:val="22"/>
        </w:rPr>
      </w:pPr>
    </w:p>
    <w:p>
      <w:pPr>
        <w:pStyle w:val="Corpotesto"/>
        <w:spacing w:before="232" w:line="360" w:lineRule="auto"/>
        <w:ind w:left="338" w:right="593"/>
        <w:jc w:val="both"/>
        <w:rPr>
          <w:sz w:val="22"/>
          <w:szCs w:val="22"/>
        </w:rPr>
      </w:pPr>
      <w:r>
        <w:rPr>
          <w:sz w:val="22"/>
          <w:szCs w:val="22"/>
        </w:rPr>
        <w:t>Si trasmette in allegato il documento denominato “Linee Guida” circa il programma biennale degli acquisti di beni, servizi di importo pari o superiore a 40.000,00 euro (</w:t>
      </w:r>
      <w:proofErr w:type="spellStart"/>
      <w:r>
        <w:rPr>
          <w:sz w:val="22"/>
          <w:szCs w:val="22"/>
        </w:rPr>
        <w:t>rif.</w:t>
      </w:r>
      <w:proofErr w:type="spellEnd"/>
      <w:r>
        <w:rPr>
          <w:sz w:val="22"/>
          <w:szCs w:val="22"/>
        </w:rPr>
        <w:t xml:space="preserve"> circolari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25/2018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28/2018, 17/2019 e 32/2019</w:t>
      </w:r>
      <w:r>
        <w:rPr>
          <w:sz w:val="22"/>
          <w:szCs w:val="22"/>
        </w:rPr>
        <w:t>), predisposto dal competente Ufficio Servizi Generali – Direzione Centrale Servizi per la Ricerca, con il quale si forniscono istruzioni sia per l’ultimo adeguamento e modifica del programma (annualità 2020-2021), sia per la redazione del nuovo programma, annualità 2021-2022, del Consiglio Nazionale delle Ricerche.</w:t>
      </w:r>
    </w:p>
    <w:p>
      <w:pPr>
        <w:pStyle w:val="Corpotesto"/>
        <w:spacing w:before="232" w:line="360" w:lineRule="auto"/>
        <w:ind w:left="338" w:right="593" w:hanging="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eventuali chiarimenti o ulteriori informazioni è possibile contattare il Referente della Programmazione Biennale degli acquisti di beni e servizi del CNR, </w:t>
      </w:r>
      <w:r>
        <w:rPr>
          <w:b/>
          <w:bCs/>
          <w:sz w:val="22"/>
          <w:szCs w:val="22"/>
        </w:rPr>
        <w:t>Dott. Pierpaolo Orrico</w:t>
      </w:r>
      <w:r>
        <w:rPr>
          <w:sz w:val="22"/>
          <w:szCs w:val="22"/>
        </w:rPr>
        <w:t xml:space="preserve">, all’indirizzo mail </w:t>
      </w:r>
      <w:r>
        <w:rPr>
          <w:b/>
          <w:bCs/>
          <w:sz w:val="22"/>
          <w:szCs w:val="22"/>
        </w:rPr>
        <w:t>segreteria.usg@cnr.it</w:t>
      </w:r>
      <w:r>
        <w:rPr>
          <w:sz w:val="22"/>
          <w:szCs w:val="22"/>
        </w:rPr>
        <w:t xml:space="preserve"> ovvero contattare telefonicamente il </w:t>
      </w:r>
      <w:r>
        <w:rPr>
          <w:b/>
          <w:bCs/>
          <w:sz w:val="22"/>
          <w:szCs w:val="22"/>
        </w:rPr>
        <w:t>Dott. Matteo Ciaschi</w:t>
      </w:r>
      <w:r>
        <w:rPr>
          <w:sz w:val="22"/>
          <w:szCs w:val="22"/>
        </w:rPr>
        <w:t xml:space="preserve"> al numero telefonico </w:t>
      </w:r>
      <w:r>
        <w:rPr>
          <w:b/>
          <w:bCs/>
          <w:sz w:val="22"/>
          <w:szCs w:val="22"/>
        </w:rPr>
        <w:t>06/4993 2112</w:t>
      </w:r>
      <w:r>
        <w:rPr>
          <w:sz w:val="22"/>
          <w:szCs w:val="22"/>
        </w:rPr>
        <w:t xml:space="preserve">, mobile </w:t>
      </w:r>
      <w:r>
        <w:rPr>
          <w:b/>
          <w:bCs/>
          <w:sz w:val="22"/>
          <w:szCs w:val="22"/>
        </w:rPr>
        <w:t>+39 331.6778073</w:t>
      </w:r>
      <w:r>
        <w:rPr>
          <w:sz w:val="22"/>
          <w:szCs w:val="22"/>
        </w:rPr>
        <w:t xml:space="preserve"> o tramite mail </w:t>
      </w:r>
      <w:r>
        <w:rPr>
          <w:b/>
          <w:bCs/>
          <w:sz w:val="22"/>
          <w:szCs w:val="22"/>
        </w:rPr>
        <w:t>matteo.ciaschi@cnr.it</w:t>
      </w:r>
      <w:r>
        <w:rPr>
          <w:sz w:val="22"/>
          <w:szCs w:val="22"/>
        </w:rPr>
        <w:t>.</w:t>
      </w:r>
    </w:p>
    <w:p>
      <w:pPr>
        <w:pStyle w:val="Corpotesto"/>
        <w:spacing w:before="232" w:line="360" w:lineRule="auto"/>
        <w:ind w:left="338" w:right="593" w:hanging="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Dirigenti, i Direttori e i Responsabili delle Aree in indirizzo sono invitati a dare la massima diffusione, coinvolgendo nelle attività i propri Referenti per la Programmazione degli Acquisti </w:t>
      </w:r>
      <w:r>
        <w:rPr>
          <w:i/>
          <w:iCs/>
          <w:sz w:val="22"/>
          <w:szCs w:val="22"/>
        </w:rPr>
        <w:t>(provvedimento Prot. n.0064771/2020 del 16/10/2020).</w:t>
      </w:r>
    </w:p>
    <w:p>
      <w:pPr>
        <w:pStyle w:val="Corpotesto"/>
        <w:spacing w:before="232" w:line="360" w:lineRule="auto"/>
        <w:ind w:left="338" w:right="593" w:hanging="54"/>
        <w:jc w:val="both"/>
        <w:rPr>
          <w:sz w:val="22"/>
          <w:szCs w:val="22"/>
        </w:rPr>
      </w:pPr>
    </w:p>
    <w:p>
      <w:pPr>
        <w:pStyle w:val="Corpotesto"/>
        <w:ind w:left="6198"/>
      </w:pPr>
      <w:r>
        <w:t>IL DIRETTORE GENERALE</w:t>
      </w:r>
    </w:p>
    <w:p>
      <w:pPr>
        <w:pStyle w:val="Corpotesto"/>
        <w:ind w:left="6198"/>
      </w:pPr>
    </w:p>
    <w:p>
      <w:pPr>
        <w:pStyle w:val="Corpotesto"/>
        <w:ind w:left="6198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  <w:ind w:left="338"/>
        <w:rPr>
          <w:sz w:val="20"/>
          <w:szCs w:val="22"/>
        </w:rPr>
      </w:pPr>
      <w:r>
        <w:rPr>
          <w:sz w:val="20"/>
          <w:szCs w:val="22"/>
          <w:u w:val="single"/>
        </w:rPr>
        <w:t>Allegato</w:t>
      </w:r>
      <w:r>
        <w:rPr>
          <w:sz w:val="20"/>
          <w:szCs w:val="22"/>
        </w:rPr>
        <w:t>:</w:t>
      </w:r>
    </w:p>
    <w:p>
      <w:pPr>
        <w:pStyle w:val="Corpotesto"/>
        <w:spacing w:before="2"/>
        <w:rPr>
          <w:sz w:val="12"/>
          <w:szCs w:val="22"/>
        </w:rPr>
      </w:pPr>
    </w:p>
    <w:p>
      <w:pPr>
        <w:pStyle w:val="Corpotesto"/>
        <w:spacing w:before="230"/>
        <w:ind w:left="426" w:right="512" w:hanging="286"/>
        <w:jc w:val="both"/>
        <w:rPr>
          <w:sz w:val="20"/>
          <w:szCs w:val="22"/>
        </w:rPr>
      </w:pPr>
      <w:r>
        <w:rPr>
          <w:sz w:val="20"/>
          <w:szCs w:val="22"/>
        </w:rPr>
        <w:t>1) Linee Guida “Avvio attività - Programma biennale degli acquisti di beni e servizi di importo pari o superiore a 40.000,00 euro e relativi aggiornamenti annuali del Consiglio Nazionale delle Ricerche – annualità 2021-2022”</w:t>
      </w:r>
    </w:p>
    <w:sectPr>
      <w:type w:val="continuous"/>
      <w:pgSz w:w="11910" w:h="16840"/>
      <w:pgMar w:top="620" w:right="8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  <w:jc w:val="center"/>
      <w:rPr>
        <w:b/>
      </w:rPr>
    </w:pPr>
    <w:r>
      <w:rPr>
        <w:b/>
      </w:rPr>
      <w:t xml:space="preserve">                                                                                 Circolare n. 32 / 2020</w:t>
    </w:r>
  </w:p>
  <w:p/>
  <w:tbl>
    <w:tblPr>
      <w:tblW w:w="98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8"/>
      <w:gridCol w:w="532"/>
      <w:gridCol w:w="3734"/>
    </w:tblGrid>
    <w:tr>
      <w:trPr>
        <w:cantSplit/>
        <w:trHeight w:val="356"/>
      </w:trPr>
      <w:tc>
        <w:tcPr>
          <w:tcW w:w="5598" w:type="dxa"/>
          <w:shd w:val="clear" w:color="auto" w:fill="auto"/>
        </w:tcPr>
        <w:p>
          <w:pPr>
            <w:adjustRightInd w:val="0"/>
            <w:ind w:left="70" w:right="-20"/>
            <w:rPr>
              <w:rFonts w:ascii="Tw Cen MT" w:hAnsi="Tw Cen MT" w:cs="Tw Cen MT"/>
              <w:color w:val="17365D" w:themeColor="text2" w:themeShade="BF"/>
              <w:sz w:val="28"/>
              <w:szCs w:val="28"/>
            </w:rPr>
          </w:pPr>
          <w:r>
            <w:rPr>
              <w:noProof/>
              <w:color w:val="17365D" w:themeColor="text2" w:themeShade="BF"/>
              <w:sz w:val="10"/>
              <w:szCs w:val="10"/>
            </w:rPr>
            <w:drawing>
              <wp:inline distT="0" distB="0" distL="0" distR="0">
                <wp:extent cx="502920" cy="4648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 w:cs="Tw Cen MT"/>
              <w:color w:val="17365D" w:themeColor="text2" w:themeShade="BF"/>
              <w:spacing w:val="1"/>
              <w:position w:val="1"/>
              <w:sz w:val="28"/>
              <w:szCs w:val="28"/>
            </w:rPr>
            <w:t>C</w:t>
          </w:r>
          <w:r>
            <w:rPr>
              <w:rFonts w:ascii="Tw Cen MT" w:hAnsi="Tw Cen MT" w:cs="Tw Cen MT"/>
              <w:color w:val="17365D" w:themeColor="text2" w:themeShade="BF"/>
              <w:spacing w:val="8"/>
              <w:position w:val="1"/>
              <w:sz w:val="28"/>
              <w:szCs w:val="28"/>
            </w:rPr>
            <w:t>o</w:t>
          </w:r>
          <w:r>
            <w:rPr>
              <w:rFonts w:ascii="Tw Cen MT" w:hAnsi="Tw Cen MT" w:cs="Tw Cen MT"/>
              <w:color w:val="17365D" w:themeColor="text2" w:themeShade="BF"/>
              <w:spacing w:val="-3"/>
              <w:position w:val="1"/>
              <w:sz w:val="28"/>
              <w:szCs w:val="28"/>
            </w:rPr>
            <w:t>n</w:t>
          </w:r>
          <w:r>
            <w:rPr>
              <w:rFonts w:ascii="Tw Cen MT" w:hAnsi="Tw Cen MT" w:cs="Tw Cen MT"/>
              <w:color w:val="17365D" w:themeColor="text2" w:themeShade="BF"/>
              <w:spacing w:val="-2"/>
              <w:position w:val="1"/>
              <w:sz w:val="28"/>
              <w:szCs w:val="28"/>
            </w:rPr>
            <w:t>s</w:t>
          </w:r>
          <w:r>
            <w:rPr>
              <w:rFonts w:ascii="Tw Cen MT" w:hAnsi="Tw Cen MT" w:cs="Tw Cen MT"/>
              <w:color w:val="17365D" w:themeColor="text2" w:themeShade="BF"/>
              <w:spacing w:val="-6"/>
              <w:position w:val="1"/>
              <w:sz w:val="28"/>
              <w:szCs w:val="28"/>
            </w:rPr>
            <w:t>i</w:t>
          </w:r>
          <w:r>
            <w:rPr>
              <w:rFonts w:ascii="Tw Cen MT" w:hAnsi="Tw Cen MT" w:cs="Tw Cen MT"/>
              <w:color w:val="17365D" w:themeColor="text2" w:themeShade="BF"/>
              <w:spacing w:val="-1"/>
              <w:position w:val="1"/>
              <w:sz w:val="28"/>
              <w:szCs w:val="28"/>
            </w:rPr>
            <w:t>g</w:t>
          </w:r>
          <w:r>
            <w:rPr>
              <w:rFonts w:ascii="Tw Cen MT" w:hAnsi="Tw Cen MT" w:cs="Tw Cen MT"/>
              <w:color w:val="17365D" w:themeColor="text2" w:themeShade="BF"/>
              <w:spacing w:val="1"/>
              <w:position w:val="1"/>
              <w:sz w:val="28"/>
              <w:szCs w:val="28"/>
            </w:rPr>
            <w:t>l</w:t>
          </w:r>
          <w:r>
            <w:rPr>
              <w:rFonts w:ascii="Tw Cen MT" w:hAnsi="Tw Cen MT" w:cs="Tw Cen MT"/>
              <w:color w:val="17365D" w:themeColor="text2" w:themeShade="BF"/>
              <w:spacing w:val="-2"/>
              <w:position w:val="1"/>
              <w:sz w:val="28"/>
              <w:szCs w:val="28"/>
            </w:rPr>
            <w:t>i</w:t>
          </w:r>
          <w:r>
            <w:rPr>
              <w:rFonts w:ascii="Tw Cen MT" w:hAnsi="Tw Cen MT" w:cs="Tw Cen MT"/>
              <w:color w:val="17365D" w:themeColor="text2" w:themeShade="BF"/>
              <w:position w:val="1"/>
              <w:sz w:val="28"/>
              <w:szCs w:val="28"/>
            </w:rPr>
            <w:t xml:space="preserve">o </w:t>
          </w:r>
          <w:r>
            <w:rPr>
              <w:rFonts w:ascii="Tw Cen MT" w:hAnsi="Tw Cen MT" w:cs="Tw Cen MT"/>
              <w:color w:val="17365D" w:themeColor="text2" w:themeShade="BF"/>
              <w:spacing w:val="-2"/>
              <w:position w:val="1"/>
              <w:sz w:val="28"/>
              <w:szCs w:val="28"/>
            </w:rPr>
            <w:t>N</w:t>
          </w:r>
          <w:r>
            <w:rPr>
              <w:rFonts w:ascii="Tw Cen MT" w:hAnsi="Tw Cen MT" w:cs="Tw Cen MT"/>
              <w:color w:val="17365D" w:themeColor="text2" w:themeShade="BF"/>
              <w:spacing w:val="1"/>
              <w:position w:val="1"/>
              <w:sz w:val="28"/>
              <w:szCs w:val="28"/>
            </w:rPr>
            <w:t>a</w:t>
          </w:r>
          <w:r>
            <w:rPr>
              <w:rFonts w:ascii="Tw Cen MT" w:hAnsi="Tw Cen MT" w:cs="Tw Cen MT"/>
              <w:color w:val="17365D" w:themeColor="text2" w:themeShade="BF"/>
              <w:spacing w:val="-5"/>
              <w:position w:val="1"/>
              <w:sz w:val="28"/>
              <w:szCs w:val="28"/>
            </w:rPr>
            <w:t>z</w:t>
          </w:r>
          <w:r>
            <w:rPr>
              <w:rFonts w:ascii="Tw Cen MT" w:hAnsi="Tw Cen MT" w:cs="Tw Cen MT"/>
              <w:color w:val="17365D" w:themeColor="text2" w:themeShade="BF"/>
              <w:spacing w:val="-1"/>
              <w:position w:val="1"/>
              <w:sz w:val="28"/>
              <w:szCs w:val="28"/>
            </w:rPr>
            <w:t>i</w:t>
          </w:r>
          <w:r>
            <w:rPr>
              <w:rFonts w:ascii="Tw Cen MT" w:hAnsi="Tw Cen MT" w:cs="Tw Cen MT"/>
              <w:color w:val="17365D" w:themeColor="text2" w:themeShade="BF"/>
              <w:spacing w:val="1"/>
              <w:position w:val="1"/>
              <w:sz w:val="28"/>
              <w:szCs w:val="28"/>
            </w:rPr>
            <w:t>o</w:t>
          </w:r>
          <w:r>
            <w:rPr>
              <w:rFonts w:ascii="Tw Cen MT" w:hAnsi="Tw Cen MT" w:cs="Tw Cen MT"/>
              <w:color w:val="17365D" w:themeColor="text2" w:themeShade="BF"/>
              <w:spacing w:val="-5"/>
              <w:position w:val="1"/>
              <w:sz w:val="28"/>
              <w:szCs w:val="28"/>
            </w:rPr>
            <w:t>n</w:t>
          </w:r>
          <w:r>
            <w:rPr>
              <w:rFonts w:ascii="Tw Cen MT" w:hAnsi="Tw Cen MT" w:cs="Tw Cen MT"/>
              <w:color w:val="17365D" w:themeColor="text2" w:themeShade="BF"/>
              <w:spacing w:val="2"/>
              <w:position w:val="1"/>
              <w:sz w:val="28"/>
              <w:szCs w:val="28"/>
            </w:rPr>
            <w:t>a</w:t>
          </w:r>
          <w:r>
            <w:rPr>
              <w:rFonts w:ascii="Tw Cen MT" w:hAnsi="Tw Cen MT" w:cs="Tw Cen MT"/>
              <w:color w:val="17365D" w:themeColor="text2" w:themeShade="BF"/>
              <w:spacing w:val="-6"/>
              <w:position w:val="1"/>
              <w:sz w:val="28"/>
              <w:szCs w:val="28"/>
            </w:rPr>
            <w:t>l</w:t>
          </w:r>
          <w:r>
            <w:rPr>
              <w:rFonts w:ascii="Tw Cen MT" w:hAnsi="Tw Cen MT" w:cs="Tw Cen MT"/>
              <w:color w:val="17365D" w:themeColor="text2" w:themeShade="BF"/>
              <w:position w:val="1"/>
              <w:sz w:val="28"/>
              <w:szCs w:val="28"/>
            </w:rPr>
            <w:t>e</w:t>
          </w:r>
          <w:r>
            <w:rPr>
              <w:rFonts w:ascii="Tw Cen MT" w:hAnsi="Tw Cen MT" w:cs="Tw Cen MT"/>
              <w:color w:val="17365D" w:themeColor="text2" w:themeShade="BF"/>
              <w:spacing w:val="-4"/>
              <w:position w:val="1"/>
              <w:sz w:val="28"/>
              <w:szCs w:val="28"/>
            </w:rPr>
            <w:t xml:space="preserve"> </w:t>
          </w:r>
          <w:r>
            <w:rPr>
              <w:rFonts w:ascii="Tw Cen MT" w:hAnsi="Tw Cen MT" w:cs="Tw Cen MT"/>
              <w:color w:val="17365D" w:themeColor="text2" w:themeShade="BF"/>
              <w:spacing w:val="-1"/>
              <w:position w:val="1"/>
              <w:sz w:val="28"/>
              <w:szCs w:val="28"/>
            </w:rPr>
            <w:t>d</w:t>
          </w:r>
          <w:r>
            <w:rPr>
              <w:rFonts w:ascii="Tw Cen MT" w:hAnsi="Tw Cen MT" w:cs="Tw Cen MT"/>
              <w:color w:val="17365D" w:themeColor="text2" w:themeShade="BF"/>
              <w:spacing w:val="1"/>
              <w:position w:val="1"/>
              <w:sz w:val="28"/>
              <w:szCs w:val="28"/>
            </w:rPr>
            <w:t>el</w:t>
          </w:r>
          <w:r>
            <w:rPr>
              <w:rFonts w:ascii="Tw Cen MT" w:hAnsi="Tw Cen MT" w:cs="Tw Cen MT"/>
              <w:color w:val="17365D" w:themeColor="text2" w:themeShade="BF"/>
              <w:spacing w:val="-4"/>
              <w:position w:val="1"/>
              <w:sz w:val="28"/>
              <w:szCs w:val="28"/>
            </w:rPr>
            <w:t>l</w:t>
          </w:r>
          <w:r>
            <w:rPr>
              <w:rFonts w:ascii="Tw Cen MT" w:hAnsi="Tw Cen MT" w:cs="Tw Cen MT"/>
              <w:color w:val="17365D" w:themeColor="text2" w:themeShade="BF"/>
              <w:position w:val="1"/>
              <w:sz w:val="28"/>
              <w:szCs w:val="28"/>
            </w:rPr>
            <w:t>e</w:t>
          </w:r>
          <w:r>
            <w:rPr>
              <w:rFonts w:ascii="Tw Cen MT" w:hAnsi="Tw Cen MT" w:cs="Tw Cen MT"/>
              <w:color w:val="17365D" w:themeColor="text2" w:themeShade="BF"/>
              <w:spacing w:val="-2"/>
              <w:position w:val="1"/>
              <w:sz w:val="28"/>
              <w:szCs w:val="28"/>
            </w:rPr>
            <w:t xml:space="preserve"> </w:t>
          </w:r>
          <w:r>
            <w:rPr>
              <w:rFonts w:ascii="Tw Cen MT" w:hAnsi="Tw Cen MT" w:cs="Tw Cen MT"/>
              <w:color w:val="17365D" w:themeColor="text2" w:themeShade="BF"/>
              <w:spacing w:val="1"/>
              <w:position w:val="1"/>
              <w:sz w:val="28"/>
              <w:szCs w:val="28"/>
            </w:rPr>
            <w:t>R</w:t>
          </w:r>
          <w:r>
            <w:rPr>
              <w:rFonts w:ascii="Tw Cen MT" w:hAnsi="Tw Cen MT" w:cs="Tw Cen MT"/>
              <w:color w:val="17365D" w:themeColor="text2" w:themeShade="BF"/>
              <w:spacing w:val="-2"/>
              <w:position w:val="1"/>
              <w:sz w:val="28"/>
              <w:szCs w:val="28"/>
            </w:rPr>
            <w:t>i</w:t>
          </w:r>
          <w:r>
            <w:rPr>
              <w:rFonts w:ascii="Tw Cen MT" w:hAnsi="Tw Cen MT" w:cs="Tw Cen MT"/>
              <w:color w:val="17365D" w:themeColor="text2" w:themeShade="BF"/>
              <w:spacing w:val="-5"/>
              <w:position w:val="1"/>
              <w:sz w:val="28"/>
              <w:szCs w:val="28"/>
            </w:rPr>
            <w:t>c</w:t>
          </w:r>
          <w:r>
            <w:rPr>
              <w:rFonts w:ascii="Tw Cen MT" w:hAnsi="Tw Cen MT" w:cs="Tw Cen MT"/>
              <w:color w:val="17365D" w:themeColor="text2" w:themeShade="BF"/>
              <w:spacing w:val="1"/>
              <w:position w:val="1"/>
              <w:sz w:val="28"/>
              <w:szCs w:val="28"/>
            </w:rPr>
            <w:t>e</w:t>
          </w:r>
          <w:r>
            <w:rPr>
              <w:rFonts w:ascii="Tw Cen MT" w:hAnsi="Tw Cen MT" w:cs="Tw Cen MT"/>
              <w:color w:val="17365D" w:themeColor="text2" w:themeShade="BF"/>
              <w:position w:val="1"/>
              <w:sz w:val="28"/>
              <w:szCs w:val="28"/>
            </w:rPr>
            <w:t>r</w:t>
          </w:r>
          <w:r>
            <w:rPr>
              <w:rFonts w:ascii="Tw Cen MT" w:hAnsi="Tw Cen MT" w:cs="Tw Cen MT"/>
              <w:color w:val="17365D" w:themeColor="text2" w:themeShade="BF"/>
              <w:spacing w:val="-2"/>
              <w:position w:val="1"/>
              <w:sz w:val="28"/>
              <w:szCs w:val="28"/>
            </w:rPr>
            <w:t>c</w:t>
          </w:r>
          <w:r>
            <w:rPr>
              <w:rFonts w:ascii="Tw Cen MT" w:hAnsi="Tw Cen MT" w:cs="Tw Cen MT"/>
              <w:color w:val="17365D" w:themeColor="text2" w:themeShade="BF"/>
              <w:spacing w:val="-3"/>
              <w:position w:val="1"/>
              <w:sz w:val="28"/>
              <w:szCs w:val="28"/>
            </w:rPr>
            <w:t>h</w:t>
          </w:r>
          <w:r>
            <w:rPr>
              <w:rFonts w:ascii="Tw Cen MT" w:hAnsi="Tw Cen MT" w:cs="Tw Cen MT"/>
              <w:color w:val="17365D" w:themeColor="text2" w:themeShade="BF"/>
              <w:position w:val="1"/>
              <w:sz w:val="28"/>
              <w:szCs w:val="28"/>
            </w:rPr>
            <w:t>e</w:t>
          </w:r>
        </w:p>
        <w:p>
          <w:pPr>
            <w:pStyle w:val="Titolo8"/>
            <w:spacing w:before="0"/>
            <w:rPr>
              <w:rFonts w:ascii="Arial" w:hAnsi="Arial"/>
            </w:rPr>
          </w:pPr>
          <w:r>
            <w:rPr>
              <w:rFonts w:ascii="Arial" w:hAnsi="Arial" w:cs="Arial"/>
              <w:b/>
              <w:color w:val="1F497D"/>
              <w:sz w:val="22"/>
              <w:szCs w:val="20"/>
            </w:rPr>
            <w:t xml:space="preserve">                        Direzione Generale</w:t>
          </w:r>
        </w:p>
        <w:p>
          <w:pPr>
            <w:jc w:val="center"/>
            <w:rPr>
              <w:rFonts w:ascii="Arial" w:hAnsi="Arial"/>
              <w:sz w:val="24"/>
            </w:rPr>
          </w:pPr>
        </w:p>
      </w:tc>
      <w:tc>
        <w:tcPr>
          <w:tcW w:w="532" w:type="dxa"/>
          <w:shd w:val="clear" w:color="auto" w:fill="auto"/>
        </w:tcPr>
        <w:p>
          <w:pPr>
            <w:rPr>
              <w:b/>
              <w:sz w:val="24"/>
            </w:rPr>
          </w:pPr>
        </w:p>
      </w:tc>
      <w:tc>
        <w:tcPr>
          <w:tcW w:w="3734" w:type="dxa"/>
          <w:shd w:val="clear" w:color="auto" w:fill="auto"/>
        </w:tcPr>
        <w:p>
          <w:pPr>
            <w:rPr>
              <w:bCs/>
            </w:rPr>
          </w:pPr>
        </w:p>
        <w:p>
          <w:pPr>
            <w:rPr>
              <w:bCs/>
            </w:rPr>
          </w:pPr>
        </w:p>
        <w:p>
          <w:pPr>
            <w:rPr>
              <w:rFonts w:ascii="Arial" w:hAnsi="Arial" w:cs="Arial"/>
              <w:b/>
              <w:color w:val="1F497D"/>
            </w:rPr>
          </w:pPr>
        </w:p>
        <w:p>
          <w:pPr>
            <w:rPr>
              <w:rFonts w:ascii="Arial" w:hAnsi="Arial" w:cs="Arial"/>
              <w:b/>
              <w:color w:val="1F497D"/>
            </w:rPr>
          </w:pPr>
        </w:p>
        <w:p>
          <w:pPr>
            <w:rPr>
              <w:rFonts w:ascii="Arial" w:hAnsi="Arial" w:cs="Arial"/>
              <w:b/>
              <w:color w:val="1F497D"/>
            </w:rPr>
          </w:pPr>
        </w:p>
        <w:p>
          <w:pPr>
            <w:rPr>
              <w:rFonts w:ascii="Arial" w:hAnsi="Arial" w:cs="Arial"/>
              <w:b/>
              <w:color w:val="1F497D"/>
            </w:rPr>
          </w:pPr>
        </w:p>
        <w:p>
          <w:pPr>
            <w:rPr>
              <w:rFonts w:ascii="Arial" w:hAnsi="Arial" w:cs="Arial"/>
              <w:color w:val="1F497D"/>
              <w:sz w:val="18"/>
            </w:rPr>
          </w:pPr>
          <w:r>
            <w:rPr>
              <w:rFonts w:ascii="Arial" w:hAnsi="Arial" w:cs="Arial"/>
              <w:b/>
              <w:color w:val="1F497D"/>
            </w:rPr>
            <w:t>Roma, 21 dicembre 2020</w:t>
          </w:r>
        </w:p>
        <w:p>
          <w:pPr>
            <w:rPr>
              <w:bCs/>
            </w:rPr>
          </w:pPr>
          <w:r>
            <w:rPr>
              <w:rFonts w:ascii="Arial" w:hAnsi="Arial" w:cs="Arial"/>
              <w:color w:val="1F497D"/>
              <w:sz w:val="18"/>
            </w:rPr>
            <w:t>P. le Aldo Moro, 7 - 00185 ROMA</w:t>
          </w:r>
        </w:p>
      </w:tc>
    </w:tr>
  </w:tbl>
  <w:p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0AEBD-BD22-4E12-AD07-CBF2B8FF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widowControl/>
      <w:autoSpaceDE/>
      <w:autoSpaceDN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Cesare Gigliozzi</cp:lastModifiedBy>
  <cp:revision>48</cp:revision>
  <cp:lastPrinted>2019-11-13T14:33:00Z</cp:lastPrinted>
  <dcterms:created xsi:type="dcterms:W3CDTF">2019-06-04T12:12:00Z</dcterms:created>
  <dcterms:modified xsi:type="dcterms:W3CDTF">2020-12-21T13:25:00Z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