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sz w:val="22"/>
        </w:rPr>
      </w:pPr>
      <w:r>
        <w:rPr>
          <w:b/>
          <w:sz w:val="22"/>
        </w:rPr>
        <w:t xml:space="preserve">                                                                                     Circolare n. 11 / 2021</w:t>
      </w:r>
    </w:p>
    <w:p/>
    <w:tbl>
      <w:tblPr>
        <w:tblW w:w="10349" w:type="dxa"/>
        <w:tblInd w:w="-214" w:type="dxa"/>
        <w:tblLayout w:type="fixed"/>
        <w:tblCellMar>
          <w:left w:w="70" w:type="dxa"/>
          <w:right w:w="70" w:type="dxa"/>
        </w:tblCellMar>
        <w:tblLook w:val="0000" w:firstRow="0" w:lastRow="0" w:firstColumn="0" w:lastColumn="0" w:noHBand="0" w:noVBand="0"/>
      </w:tblPr>
      <w:tblGrid>
        <w:gridCol w:w="5952"/>
        <w:gridCol w:w="567"/>
        <w:gridCol w:w="3830"/>
      </w:tblGrid>
      <w:tr>
        <w:trPr>
          <w:cantSplit/>
          <w:trHeight w:val="1075"/>
        </w:trPr>
        <w:tc>
          <w:tcPr>
            <w:tcW w:w="5952" w:type="dxa"/>
            <w:vAlign w:val="bottom"/>
          </w:tcPr>
          <w:p>
            <w:pPr>
              <w:widowControl w:val="0"/>
              <w:rPr>
                <w:rFonts w:ascii="Arial" w:hAnsi="Arial"/>
                <w:sz w:val="24"/>
              </w:rPr>
            </w:pPr>
            <w:r>
              <w:rPr>
                <w:rFonts w:ascii="Arial" w:hAnsi="Arial"/>
                <w:noProof/>
                <w:sz w:val="24"/>
              </w:rPr>
              <w:drawing>
                <wp:inline distT="0" distB="0" distL="0" distR="0">
                  <wp:extent cx="3693160" cy="554355"/>
                  <wp:effectExtent l="0" t="0" r="254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3160" cy="554355"/>
                          </a:xfrm>
                          <a:prstGeom prst="rect">
                            <a:avLst/>
                          </a:prstGeom>
                          <a:noFill/>
                          <a:ln>
                            <a:noFill/>
                          </a:ln>
                        </pic:spPr>
                      </pic:pic>
                    </a:graphicData>
                  </a:graphic>
                </wp:inline>
              </w:drawing>
            </w:r>
          </w:p>
        </w:tc>
        <w:tc>
          <w:tcPr>
            <w:tcW w:w="567" w:type="dxa"/>
          </w:tcPr>
          <w:p>
            <w:pPr>
              <w:rPr>
                <w:b/>
                <w:sz w:val="24"/>
              </w:rPr>
            </w:pPr>
          </w:p>
        </w:tc>
        <w:tc>
          <w:tcPr>
            <w:tcW w:w="3830" w:type="dxa"/>
          </w:tcPr>
          <w:p>
            <w:pPr>
              <w:pStyle w:val="Intestazione"/>
              <w:tabs>
                <w:tab w:val="clear" w:pos="4819"/>
                <w:tab w:val="clear" w:pos="9638"/>
              </w:tabs>
              <w:rPr>
                <w:b/>
                <w:sz w:val="24"/>
              </w:rPr>
            </w:pPr>
          </w:p>
          <w:p>
            <w:pPr>
              <w:pStyle w:val="Intestazione"/>
              <w:tabs>
                <w:tab w:val="clear" w:pos="4819"/>
                <w:tab w:val="clear" w:pos="9638"/>
              </w:tabs>
              <w:rPr>
                <w:b/>
                <w:sz w:val="24"/>
              </w:rPr>
            </w:pPr>
          </w:p>
          <w:p>
            <w:pPr>
              <w:rPr>
                <w:rFonts w:ascii="Arial" w:hAnsi="Arial" w:cs="Arial"/>
                <w:b/>
                <w:color w:val="1F497D"/>
              </w:rPr>
            </w:pPr>
            <w:r>
              <w:rPr>
                <w:rFonts w:ascii="Arial" w:hAnsi="Arial" w:cs="Arial"/>
                <w:b/>
                <w:color w:val="1F497D"/>
              </w:rPr>
              <w:t xml:space="preserve">Roma, 15 giugno 2021 </w:t>
            </w:r>
          </w:p>
          <w:p>
            <w:pPr>
              <w:rPr>
                <w:rFonts w:ascii="Arial" w:hAnsi="Arial" w:cs="Arial"/>
                <w:color w:val="1F497D"/>
              </w:rPr>
            </w:pPr>
            <w:proofErr w:type="gramStart"/>
            <w:r>
              <w:rPr>
                <w:rFonts w:ascii="Arial" w:hAnsi="Arial" w:cs="Arial"/>
                <w:color w:val="1F497D"/>
              </w:rPr>
              <w:t>P.le</w:t>
            </w:r>
            <w:proofErr w:type="gramEnd"/>
            <w:r>
              <w:rPr>
                <w:rFonts w:ascii="Arial" w:hAnsi="Arial" w:cs="Arial"/>
                <w:color w:val="1F497D"/>
              </w:rPr>
              <w:t xml:space="preserve"> Aldo Moro, 7 - 00185 ROMA</w:t>
            </w:r>
          </w:p>
        </w:tc>
      </w:tr>
      <w:tr>
        <w:trPr>
          <w:cantSplit/>
        </w:trPr>
        <w:tc>
          <w:tcPr>
            <w:tcW w:w="5952" w:type="dxa"/>
          </w:tcPr>
          <w:p>
            <w:pPr>
              <w:pStyle w:val="Titolo8"/>
              <w:rPr>
                <w:rFonts w:ascii="Arial" w:hAnsi="Arial" w:cs="Arial"/>
                <w:color w:val="1F497D"/>
                <w:sz w:val="20"/>
              </w:rPr>
            </w:pPr>
            <w:r>
              <w:rPr>
                <w:rFonts w:ascii="Arial" w:hAnsi="Arial" w:cs="Arial"/>
                <w:b/>
                <w:bCs w:val="0"/>
                <w:color w:val="1F497D"/>
                <w:sz w:val="20"/>
              </w:rPr>
              <w:t>Direzione Generale</w:t>
            </w:r>
          </w:p>
          <w:p/>
          <w:p/>
        </w:tc>
        <w:tc>
          <w:tcPr>
            <w:tcW w:w="567" w:type="dxa"/>
          </w:tcPr>
          <w:p>
            <w:pPr>
              <w:rPr>
                <w:sz w:val="24"/>
              </w:rPr>
            </w:pPr>
          </w:p>
        </w:tc>
        <w:tc>
          <w:tcPr>
            <w:tcW w:w="3830" w:type="dxa"/>
          </w:tcPr>
          <w:p>
            <w:pPr>
              <w:rPr>
                <w:rFonts w:ascii="Arial" w:hAnsi="Arial" w:cs="Arial"/>
                <w:color w:val="1F497D"/>
              </w:rPr>
            </w:pPr>
          </w:p>
          <w:p>
            <w:pPr>
              <w:rPr>
                <w:rFonts w:ascii="Arial" w:hAnsi="Arial" w:cs="Arial"/>
                <w:sz w:val="22"/>
                <w:szCs w:val="22"/>
                <w:u w:val="single"/>
              </w:rPr>
            </w:pPr>
          </w:p>
        </w:tc>
      </w:tr>
    </w:tbl>
    <w:p>
      <w:pPr>
        <w:ind w:left="5664"/>
        <w:rPr>
          <w:sz w:val="22"/>
          <w:szCs w:val="22"/>
        </w:rPr>
      </w:pPr>
    </w:p>
    <w:p>
      <w:pPr>
        <w:ind w:left="5664"/>
        <w:rPr>
          <w:sz w:val="22"/>
          <w:szCs w:val="22"/>
        </w:rPr>
      </w:pPr>
    </w:p>
    <w:p>
      <w:pPr>
        <w:ind w:left="5664"/>
        <w:rPr>
          <w:sz w:val="22"/>
          <w:szCs w:val="22"/>
        </w:rPr>
      </w:pPr>
      <w:r>
        <w:rPr>
          <w:sz w:val="22"/>
          <w:szCs w:val="22"/>
        </w:rPr>
        <w:t xml:space="preserve">       Ai</w:t>
      </w:r>
      <w:r>
        <w:rPr>
          <w:sz w:val="22"/>
          <w:szCs w:val="22"/>
        </w:rPr>
        <w:tab/>
        <w:t>Dirigenti/Direttori/Responsabili</w:t>
      </w:r>
    </w:p>
    <w:p>
      <w:pPr>
        <w:ind w:left="6372"/>
        <w:rPr>
          <w:sz w:val="22"/>
          <w:szCs w:val="22"/>
        </w:rPr>
      </w:pPr>
      <w:r>
        <w:rPr>
          <w:sz w:val="22"/>
          <w:szCs w:val="22"/>
        </w:rPr>
        <w:t>delle Unità Organiche e strutture del CNR</w:t>
      </w:r>
    </w:p>
    <w:p>
      <w:pPr>
        <w:rPr>
          <w:sz w:val="22"/>
          <w:szCs w:val="22"/>
        </w:rPr>
      </w:pPr>
    </w:p>
    <w:p>
      <w:pPr>
        <w:spacing w:line="360" w:lineRule="auto"/>
        <w:ind w:right="-295"/>
        <w:jc w:val="both"/>
        <w:rPr>
          <w:b/>
          <w:sz w:val="22"/>
          <w:szCs w:val="22"/>
        </w:rPr>
      </w:pPr>
    </w:p>
    <w:p>
      <w:pPr>
        <w:spacing w:line="360" w:lineRule="auto"/>
        <w:ind w:right="-295"/>
        <w:jc w:val="both"/>
        <w:rPr>
          <w:b/>
          <w:sz w:val="22"/>
          <w:szCs w:val="22"/>
        </w:rPr>
      </w:pPr>
    </w:p>
    <w:p>
      <w:pPr>
        <w:spacing w:line="360" w:lineRule="auto"/>
        <w:ind w:left="284" w:right="-13"/>
        <w:jc w:val="both"/>
        <w:rPr>
          <w:sz w:val="22"/>
          <w:szCs w:val="22"/>
        </w:rPr>
      </w:pPr>
      <w:r>
        <w:rPr>
          <w:b/>
          <w:sz w:val="22"/>
          <w:szCs w:val="22"/>
        </w:rPr>
        <w:t>Oggetto</w:t>
      </w:r>
      <w:r>
        <w:rPr>
          <w:sz w:val="22"/>
          <w:szCs w:val="22"/>
        </w:rPr>
        <w:t>: Avvio della fase di rilevazione dei fabbisogni formativi 2021.</w:t>
      </w:r>
    </w:p>
    <w:p>
      <w:pPr>
        <w:pStyle w:val="NormaleWeb"/>
        <w:ind w:left="284" w:right="-13" w:firstLine="709"/>
        <w:jc w:val="both"/>
        <w:rPr>
          <w:sz w:val="22"/>
          <w:szCs w:val="22"/>
        </w:rPr>
      </w:pPr>
    </w:p>
    <w:p>
      <w:pPr>
        <w:pStyle w:val="NormaleWeb"/>
        <w:ind w:left="284" w:right="-13"/>
        <w:jc w:val="both"/>
        <w:rPr>
          <w:sz w:val="22"/>
          <w:szCs w:val="22"/>
        </w:rPr>
      </w:pPr>
      <w:r>
        <w:rPr>
          <w:sz w:val="22"/>
          <w:szCs w:val="22"/>
        </w:rPr>
        <w:t>Con la presente circolare si trasmette la direttiva dell’Unità Formazione e Welfare della Direzione Centrale Gestione delle Risorse (</w:t>
      </w:r>
      <w:proofErr w:type="spellStart"/>
      <w:r>
        <w:rPr>
          <w:sz w:val="22"/>
          <w:szCs w:val="22"/>
        </w:rPr>
        <w:t>All</w:t>
      </w:r>
      <w:proofErr w:type="spellEnd"/>
      <w:r>
        <w:rPr>
          <w:sz w:val="22"/>
          <w:szCs w:val="22"/>
        </w:rPr>
        <w:t>. A) con la quale si avvia il processo di rilevazione dei fabbisogni formativi presso le strutture dell’Ente, preliminare alla programmazione della formazione per il personale per l’anno 2022.</w:t>
      </w:r>
    </w:p>
    <w:p>
      <w:pPr>
        <w:pStyle w:val="NormaleWeb"/>
        <w:ind w:left="284" w:right="-13"/>
        <w:jc w:val="both"/>
        <w:rPr>
          <w:sz w:val="22"/>
          <w:szCs w:val="22"/>
        </w:rPr>
      </w:pPr>
      <w:r>
        <w:rPr>
          <w:sz w:val="22"/>
          <w:szCs w:val="22"/>
        </w:rPr>
        <w:t>La rilevazione dei fabbisogni formativi è effettuata secondo quanto stabilito dal “Disciplinare in materia di formazione per il personale dipendente del Consiglio Nazionale delle Ricerche” approvato il 25 settembre 2014 dal Consiglio di Amministrazione del CNR con delibera n. 176/2014.</w:t>
      </w:r>
    </w:p>
    <w:p>
      <w:pPr>
        <w:pStyle w:val="NormaleWeb"/>
        <w:ind w:left="284" w:right="-13"/>
        <w:jc w:val="both"/>
        <w:rPr>
          <w:b/>
          <w:sz w:val="22"/>
          <w:szCs w:val="22"/>
        </w:rPr>
      </w:pPr>
      <w:r>
        <w:rPr>
          <w:sz w:val="22"/>
          <w:szCs w:val="22"/>
        </w:rPr>
        <w:t xml:space="preserve">Il </w:t>
      </w:r>
      <w:proofErr w:type="spellStart"/>
      <w:r>
        <w:rPr>
          <w:sz w:val="22"/>
          <w:szCs w:val="22"/>
        </w:rPr>
        <w:t>form</w:t>
      </w:r>
      <w:proofErr w:type="spellEnd"/>
      <w:r>
        <w:rPr>
          <w:sz w:val="22"/>
          <w:szCs w:val="22"/>
        </w:rPr>
        <w:t xml:space="preserve"> per la rilevazione dei fabbisogni formativi resterà attivo fino al </w:t>
      </w:r>
      <w:r>
        <w:rPr>
          <w:b/>
          <w:sz w:val="22"/>
          <w:szCs w:val="22"/>
        </w:rPr>
        <w:t>30 luglio 2021</w:t>
      </w:r>
      <w:r>
        <w:rPr>
          <w:sz w:val="22"/>
          <w:szCs w:val="22"/>
        </w:rPr>
        <w:t>.</w:t>
      </w:r>
    </w:p>
    <w:p>
      <w:pPr>
        <w:pStyle w:val="Rientrocorpodeltesto2"/>
        <w:ind w:left="4956" w:firstLine="708"/>
        <w:rPr>
          <w:rFonts w:eastAsia="Arial Unicode MS"/>
          <w:sz w:val="22"/>
        </w:rPr>
      </w:pPr>
    </w:p>
    <w:p>
      <w:pPr>
        <w:pStyle w:val="Rientrocorpodeltesto2"/>
        <w:ind w:left="4956" w:firstLine="708"/>
        <w:rPr>
          <w:rFonts w:eastAsia="Arial Unicode MS"/>
          <w:sz w:val="22"/>
        </w:rPr>
      </w:pPr>
      <w:r>
        <w:rPr>
          <w:rFonts w:eastAsia="Arial Unicode MS"/>
          <w:sz w:val="22"/>
        </w:rPr>
        <w:t xml:space="preserve">            Il Direttore Generale f.f.</w:t>
      </w:r>
    </w:p>
    <w:p>
      <w:pPr>
        <w:pStyle w:val="NormaleWeb"/>
        <w:rPr>
          <w:sz w:val="22"/>
          <w:szCs w:val="22"/>
        </w:rPr>
      </w:pPr>
    </w:p>
    <w:p>
      <w:pPr>
        <w:pStyle w:val="NormaleWeb"/>
        <w:rPr>
          <w:sz w:val="22"/>
          <w:szCs w:val="22"/>
        </w:rPr>
      </w:pPr>
    </w:p>
    <w:p>
      <w:pPr>
        <w:pStyle w:val="NormaleWeb"/>
        <w:pBdr>
          <w:bottom w:val="single" w:sz="6" w:space="1" w:color="auto"/>
        </w:pBdr>
        <w:spacing w:before="0" w:beforeAutospacing="0" w:after="0" w:afterAutospacing="0"/>
        <w:rPr>
          <w:sz w:val="22"/>
          <w:szCs w:val="22"/>
        </w:rPr>
      </w:pPr>
      <w:r>
        <w:rPr>
          <w:sz w:val="22"/>
          <w:szCs w:val="22"/>
        </w:rPr>
        <w:t>Allegati:</w:t>
      </w:r>
    </w:p>
    <w:p>
      <w:pPr>
        <w:pStyle w:val="NormaleWeb"/>
        <w:pBdr>
          <w:bottom w:val="single" w:sz="6" w:space="1" w:color="auto"/>
        </w:pBdr>
        <w:spacing w:before="0" w:beforeAutospacing="0" w:after="0" w:afterAutospacing="0"/>
        <w:rPr>
          <w:sz w:val="12"/>
          <w:szCs w:val="12"/>
        </w:rPr>
      </w:pPr>
    </w:p>
    <w:p>
      <w:pPr>
        <w:pStyle w:val="NormaleWeb"/>
        <w:spacing w:before="0" w:beforeAutospacing="0" w:after="120" w:afterAutospacing="0"/>
        <w:ind w:left="851" w:hanging="851"/>
        <w:rPr>
          <w:sz w:val="22"/>
          <w:szCs w:val="22"/>
        </w:rPr>
      </w:pPr>
    </w:p>
    <w:p>
      <w:pPr>
        <w:pStyle w:val="NormaleWeb"/>
        <w:spacing w:before="0" w:beforeAutospacing="0" w:after="120" w:afterAutospacing="0"/>
        <w:ind w:left="851" w:hanging="851"/>
        <w:rPr>
          <w:sz w:val="22"/>
          <w:szCs w:val="22"/>
        </w:rPr>
      </w:pPr>
      <w:proofErr w:type="spellStart"/>
      <w:r>
        <w:rPr>
          <w:sz w:val="22"/>
          <w:szCs w:val="22"/>
        </w:rPr>
        <w:t>All</w:t>
      </w:r>
      <w:proofErr w:type="spellEnd"/>
      <w:r>
        <w:rPr>
          <w:sz w:val="22"/>
          <w:szCs w:val="22"/>
        </w:rPr>
        <w:t xml:space="preserve">. A -  </w:t>
      </w:r>
      <w:hyperlink r:id="rId8" w:history="1">
        <w:r>
          <w:rPr>
            <w:rStyle w:val="Collegamentoipertestuale"/>
            <w:color w:val="auto"/>
            <w:sz w:val="22"/>
            <w:szCs w:val="22"/>
            <w:u w:val="none"/>
          </w:rPr>
          <w:t>Direttiva dell’Unità Formazione e Welfare della DCGR (n. Reg. UFW n. 223 dell’8 giugno 2021)</w:t>
        </w:r>
      </w:hyperlink>
    </w:p>
    <w:sectPr>
      <w:headerReference w:type="default" r:id="rId9"/>
      <w:pgSz w:w="11906" w:h="16838" w:code="9"/>
      <w:pgMar w:top="851" w:right="1140" w:bottom="993" w:left="11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Intestazione"/>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6CC"/>
    <w:multiLevelType w:val="hybridMultilevel"/>
    <w:tmpl w:val="75DC0082"/>
    <w:lvl w:ilvl="0" w:tplc="681A343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96840"/>
    <w:multiLevelType w:val="hybridMultilevel"/>
    <w:tmpl w:val="4BCC3270"/>
    <w:lvl w:ilvl="0" w:tplc="A5181CD4">
      <w:numFmt w:val="bullet"/>
      <w:lvlText w:val="-"/>
      <w:lvlJc w:val="left"/>
      <w:pPr>
        <w:ind w:left="720" w:hanging="360"/>
      </w:pPr>
      <w:rPr>
        <w:rFonts w:ascii="Arial" w:eastAsia="Times New Roman" w:hAnsi="Arial" w:cs="Wingdings"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F34459"/>
    <w:multiLevelType w:val="hybridMultilevel"/>
    <w:tmpl w:val="A3B87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7B458F"/>
    <w:multiLevelType w:val="hybridMultilevel"/>
    <w:tmpl w:val="82F8D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E32CD1"/>
    <w:multiLevelType w:val="hybridMultilevel"/>
    <w:tmpl w:val="16D0906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Wingdings"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Wingdings"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Wingdings"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421155FC"/>
    <w:multiLevelType w:val="hybridMultilevel"/>
    <w:tmpl w:val="F4702D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AB75D1"/>
    <w:multiLevelType w:val="hybridMultilevel"/>
    <w:tmpl w:val="686A1BA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Wingdings"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Wingdings"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Wingdings"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4F361EEF"/>
    <w:multiLevelType w:val="hybridMultilevel"/>
    <w:tmpl w:val="98D6B560"/>
    <w:lvl w:ilvl="0" w:tplc="1880477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692D2E68"/>
    <w:multiLevelType w:val="hybridMultilevel"/>
    <w:tmpl w:val="EC4C9DEA"/>
    <w:lvl w:ilvl="0" w:tplc="A5181CD4">
      <w:numFmt w:val="bullet"/>
      <w:lvlText w:val="-"/>
      <w:lvlJc w:val="left"/>
      <w:pPr>
        <w:ind w:left="720" w:hanging="360"/>
      </w:pPr>
      <w:rPr>
        <w:rFonts w:ascii="Arial" w:eastAsia="Times New Roman" w:hAnsi="Arial" w:cs="Wingdings"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8"/>
  </w:num>
  <w:num w:numId="7">
    <w:abstractNumId w:val="6"/>
  </w:num>
  <w:num w:numId="8">
    <w:abstractNumId w:val="4"/>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99B465-DB95-4884-B553-EEE925BE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567" w:right="284"/>
      <w:outlineLvl w:val="0"/>
    </w:pPr>
    <w:rPr>
      <w:rFonts w:ascii="Tahoma" w:hAnsi="Tahoma" w:cs="Tahoma"/>
      <w:sz w:val="28"/>
    </w:rPr>
  </w:style>
  <w:style w:type="paragraph" w:styleId="Titolo2">
    <w:name w:val="heading 2"/>
    <w:basedOn w:val="Normale"/>
    <w:next w:val="Normale"/>
    <w:qFormat/>
    <w:pPr>
      <w:keepNext/>
      <w:ind w:right="274" w:firstLine="284"/>
      <w:jc w:val="center"/>
      <w:outlineLvl w:val="1"/>
    </w:pPr>
    <w:rPr>
      <w:sz w:val="24"/>
    </w:rPr>
  </w:style>
  <w:style w:type="paragraph" w:styleId="Titolo3">
    <w:name w:val="heading 3"/>
    <w:basedOn w:val="Normale"/>
    <w:next w:val="Normale"/>
    <w:qFormat/>
    <w:pPr>
      <w:keepNext/>
      <w:ind w:right="274"/>
      <w:jc w:val="center"/>
      <w:outlineLvl w:val="2"/>
    </w:pPr>
    <w:rPr>
      <w:sz w:val="24"/>
    </w:rPr>
  </w:style>
  <w:style w:type="paragraph" w:styleId="Titolo4">
    <w:name w:val="heading 4"/>
    <w:basedOn w:val="Normale"/>
    <w:next w:val="Normale"/>
    <w:qFormat/>
    <w:pPr>
      <w:keepNext/>
      <w:jc w:val="both"/>
      <w:outlineLvl w:val="3"/>
    </w:pPr>
    <w:rPr>
      <w:b/>
      <w:i/>
      <w:iCs/>
      <w:sz w:val="28"/>
    </w:rPr>
  </w:style>
  <w:style w:type="paragraph" w:styleId="Titolo5">
    <w:name w:val="heading 5"/>
    <w:basedOn w:val="Normale"/>
    <w:next w:val="Normale"/>
    <w:qFormat/>
    <w:pPr>
      <w:keepNext/>
      <w:outlineLvl w:val="4"/>
    </w:pPr>
    <w:rPr>
      <w:b/>
      <w:sz w:val="24"/>
    </w:rPr>
  </w:style>
  <w:style w:type="paragraph" w:styleId="Titolo6">
    <w:name w:val="heading 6"/>
    <w:basedOn w:val="Normale"/>
    <w:next w:val="Normale"/>
    <w:qFormat/>
    <w:pPr>
      <w:keepNext/>
      <w:jc w:val="center"/>
      <w:outlineLvl w:val="5"/>
    </w:pPr>
    <w:rPr>
      <w:b/>
      <w:sz w:val="24"/>
    </w:rPr>
  </w:style>
  <w:style w:type="paragraph" w:styleId="Titolo7">
    <w:name w:val="heading 7"/>
    <w:basedOn w:val="Normale"/>
    <w:next w:val="Normale"/>
    <w:qFormat/>
    <w:pPr>
      <w:keepNext/>
      <w:jc w:val="center"/>
      <w:outlineLvl w:val="6"/>
    </w:pPr>
    <w:rPr>
      <w:bCs/>
      <w:i/>
      <w:sz w:val="22"/>
    </w:rPr>
  </w:style>
  <w:style w:type="paragraph" w:styleId="Titolo8">
    <w:name w:val="heading 8"/>
    <w:basedOn w:val="Normale"/>
    <w:next w:val="Normale"/>
    <w:qFormat/>
    <w:pPr>
      <w:keepNext/>
      <w:jc w:val="center"/>
      <w:outlineLvl w:val="7"/>
    </w:pPr>
    <w:rPr>
      <w:bCs/>
      <w:i/>
      <w:sz w:val="24"/>
    </w:rPr>
  </w:style>
  <w:style w:type="paragraph" w:styleId="Titolo9">
    <w:name w:val="heading 9"/>
    <w:basedOn w:val="Normale"/>
    <w:next w:val="Normale"/>
    <w:qFormat/>
    <w:pPr>
      <w:keepNext/>
      <w:spacing w:before="120"/>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257" w:hanging="973"/>
      <w:jc w:val="both"/>
    </w:pPr>
    <w:rPr>
      <w:b/>
      <w:sz w:val="24"/>
    </w:rPr>
  </w:style>
  <w:style w:type="paragraph" w:styleId="Corpotesto">
    <w:name w:val="Body Text"/>
    <w:basedOn w:val="Normale"/>
    <w:pPr>
      <w:jc w:val="both"/>
    </w:pPr>
    <w:rPr>
      <w:sz w:val="24"/>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Corpodeltesto2">
    <w:name w:val="Body Text 2"/>
    <w:basedOn w:val="Normale"/>
    <w:pPr>
      <w:tabs>
        <w:tab w:val="left" w:pos="490"/>
      </w:tabs>
      <w:jc w:val="both"/>
    </w:pPr>
    <w:rPr>
      <w:sz w:val="24"/>
      <w:szCs w:val="24"/>
    </w:rPr>
  </w:style>
  <w:style w:type="paragraph" w:styleId="Corpodeltesto3">
    <w:name w:val="Body Text 3"/>
    <w:basedOn w:val="Normale"/>
    <w:pPr>
      <w:tabs>
        <w:tab w:val="left" w:pos="490"/>
      </w:tabs>
      <w:jc w:val="both"/>
    </w:pPr>
    <w:rPr>
      <w:b/>
      <w:bCs/>
      <w:sz w:val="24"/>
      <w:szCs w:val="24"/>
    </w:rPr>
  </w:style>
  <w:style w:type="character" w:styleId="Numeropagina">
    <w:name w:val="page number"/>
    <w:basedOn w:val="Carpredefinitoparagrafo"/>
  </w:style>
  <w:style w:type="paragraph" w:styleId="Rientrocorpodeltesto2">
    <w:name w:val="Body Text Indent 2"/>
    <w:basedOn w:val="Normale"/>
    <w:link w:val="Rientrocorpodeltesto2Carattere"/>
    <w:pPr>
      <w:ind w:firstLine="567"/>
      <w:jc w:val="both"/>
    </w:pPr>
    <w:rPr>
      <w:sz w:val="24"/>
    </w:rPr>
  </w:style>
  <w:style w:type="paragraph" w:styleId="Rientrocorpodeltesto3">
    <w:name w:val="Body Text Indent 3"/>
    <w:basedOn w:val="Normale"/>
    <w:pPr>
      <w:ind w:firstLine="567"/>
      <w:jc w:val="both"/>
    </w:pPr>
    <w:rPr>
      <w:i/>
      <w:iCs/>
      <w:sz w:val="24"/>
    </w:rPr>
  </w:style>
  <w:style w:type="character" w:styleId="Enfasicorsivo">
    <w:name w:val="Emphasis"/>
    <w:qFormat/>
    <w:rPr>
      <w:i/>
      <w:iCs/>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fumetto">
    <w:name w:val="Balloon Text"/>
    <w:basedOn w:val="Normale"/>
    <w:semiHidden/>
    <w:rPr>
      <w:rFonts w:ascii="Tahoma" w:hAnsi="Tahoma" w:cs="Tahoma"/>
      <w:sz w:val="16"/>
      <w:szCs w:val="16"/>
    </w:rPr>
  </w:style>
  <w:style w:type="character" w:customStyle="1" w:styleId="Rientrocorpodeltesto2Carattere">
    <w:name w:val="Rientro corpo del testo 2 Carattere"/>
    <w:link w:val="Rientrocorpodeltesto2"/>
    <w:rPr>
      <w:sz w:val="24"/>
    </w:rPr>
  </w:style>
  <w:style w:type="table" w:styleId="Grigliatabella">
    <w:name w:val="Table Grid"/>
    <w:basedOn w:val="Tabellanorma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p.cnr.it/documenti/c13-035-a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reti.MORO.RM.CNR.IT\Dati%20applicazioni\Microsoft\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intestata.dot</Template>
  <TotalTime>96</TotalTime>
  <Pages>1</Pages>
  <Words>191</Words>
  <Characters>1092</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C.N.R.</Company>
  <LinksUpToDate>false</LinksUpToDate>
  <CharactersWithSpaces>1281</CharactersWithSpaces>
  <SharedDoc>false</SharedDoc>
  <HLinks>
    <vt:vector size="6" baseType="variant">
      <vt:variant>
        <vt:i4>7929899</vt:i4>
      </vt:variant>
      <vt:variant>
        <vt:i4>0</vt:i4>
      </vt:variant>
      <vt:variant>
        <vt:i4>0</vt:i4>
      </vt:variant>
      <vt:variant>
        <vt:i4>5</vt:i4>
      </vt:variant>
      <vt:variant>
        <vt:lpwstr>http://www.urp.cnr.it/documenti/c13-035-a0.pdf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apreti</dc:creator>
  <cp:lastModifiedBy>Cesare Gigliozzi</cp:lastModifiedBy>
  <cp:revision>30</cp:revision>
  <cp:lastPrinted>2013-10-03T12:28:00Z</cp:lastPrinted>
  <dcterms:created xsi:type="dcterms:W3CDTF">2014-12-16T10:09:00Z</dcterms:created>
  <dcterms:modified xsi:type="dcterms:W3CDTF">2021-06-15T05:00:00Z</dcterms:modified>
</cp:coreProperties>
</file>