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450D2" w14:textId="77777777" w:rsidR="00AE55CA" w:rsidRDefault="00AE55CA">
      <w:pPr>
        <w:widowControl w:val="0"/>
        <w:spacing w:after="60"/>
        <w:ind w:right="-45"/>
        <w:rPr>
          <w:rFonts w:ascii="Calibri" w:eastAsia="Calibri" w:hAnsi="Calibri" w:cs="Times New Roman"/>
          <w:sz w:val="20"/>
          <w:szCs w:val="20"/>
          <w:lang w:val="en-US"/>
        </w:rPr>
      </w:pPr>
    </w:p>
    <w:p w14:paraId="44ED5DDB" w14:textId="77777777" w:rsidR="00AE55CA" w:rsidRDefault="003B1F75">
      <w:pPr>
        <w:jc w:val="center"/>
        <w:rPr>
          <w:rFonts w:ascii="Arial" w:eastAsiaTheme="minorEastAsia" w:hAnsi="Arial" w:cs="Arial"/>
          <w:b/>
          <w:bCs/>
          <w:caps/>
          <w:sz w:val="36"/>
          <w:szCs w:val="36"/>
          <w:lang w:eastAsia="it-IT"/>
        </w:rPr>
      </w:pPr>
      <w:r>
        <w:rPr>
          <w:rFonts w:ascii="Arial" w:eastAsiaTheme="minorEastAsia" w:hAnsi="Arial" w:cs="Arial"/>
          <w:b/>
          <w:bCs/>
          <w:caps/>
          <w:sz w:val="36"/>
          <w:szCs w:val="36"/>
          <w:lang w:eastAsia="it-IT"/>
        </w:rPr>
        <w:t>LETTERA DI INVITO</w:t>
      </w:r>
    </w:p>
    <w:p w14:paraId="61368508" w14:textId="77777777" w:rsidR="00AE55CA" w:rsidRDefault="00AE55CA">
      <w:pPr>
        <w:jc w:val="center"/>
        <w:rPr>
          <w:rFonts w:ascii="Arial" w:eastAsiaTheme="minorEastAsia" w:hAnsi="Arial" w:cs="Arial"/>
          <w:b/>
          <w:bCs/>
          <w:caps/>
          <w:sz w:val="20"/>
          <w:szCs w:val="20"/>
          <w:lang w:eastAsia="it-IT"/>
        </w:rPr>
      </w:pPr>
    </w:p>
    <w:p w14:paraId="039A6205" w14:textId="77777777" w:rsidR="00AE55CA" w:rsidRDefault="00AE55CA">
      <w:pPr>
        <w:jc w:val="both"/>
        <w:rPr>
          <w:rFonts w:ascii="Arial" w:eastAsiaTheme="minorEastAsia" w:hAnsi="Arial" w:cs="Arial"/>
          <w:b/>
          <w:bCs/>
          <w:caps/>
          <w:sz w:val="22"/>
          <w:szCs w:val="22"/>
          <w:lang w:eastAsia="it-IT"/>
        </w:rPr>
      </w:pPr>
    </w:p>
    <w:p w14:paraId="54AF12B0" w14:textId="77777777" w:rsidR="00AE55CA" w:rsidRDefault="00AE55CA">
      <w:pPr>
        <w:jc w:val="both"/>
        <w:rPr>
          <w:rFonts w:ascii="Arial" w:eastAsiaTheme="minorEastAsia" w:hAnsi="Arial" w:cs="Arial"/>
          <w:b/>
          <w:bCs/>
          <w:caps/>
          <w:sz w:val="22"/>
          <w:szCs w:val="22"/>
          <w:lang w:eastAsia="it-IT"/>
        </w:rPr>
      </w:pPr>
    </w:p>
    <w:p w14:paraId="16D54256" w14:textId="77777777" w:rsidR="00B62771" w:rsidRDefault="003B1F75">
      <w:pPr>
        <w:jc w:val="both"/>
        <w:rPr>
          <w:rFonts w:ascii="Arial" w:eastAsiaTheme="minorEastAsia" w:hAnsi="Arial" w:cs="Arial"/>
          <w:b/>
          <w:bCs/>
          <w:caps/>
          <w:sz w:val="22"/>
          <w:szCs w:val="22"/>
          <w:lang w:eastAsia="it-IT"/>
        </w:rPr>
      </w:pPr>
      <w:r>
        <w:rPr>
          <w:rFonts w:ascii="Arial" w:eastAsiaTheme="minorEastAsia" w:hAnsi="Arial" w:cs="Arial"/>
          <w:b/>
          <w:bCs/>
          <w:caps/>
          <w:sz w:val="22"/>
          <w:szCs w:val="22"/>
          <w:lang w:eastAsia="it-IT"/>
        </w:rPr>
        <w:t xml:space="preserve">procedura negoziata sottosoglia senza previa pubblicazione del bando di gara, ai sensi dell’art. 1 comma 2 lettera b) della Legge 120/2020 così come modificata dal decreto-legge 77/2021 convertito con modificazioni dalla Legge 108/2021 per l'affidamento della fornitura di: </w:t>
      </w:r>
    </w:p>
    <w:p w14:paraId="3964E02E" w14:textId="77777777" w:rsidR="00B62771" w:rsidRDefault="00B62771">
      <w:pPr>
        <w:jc w:val="both"/>
        <w:rPr>
          <w:rFonts w:ascii="Arial" w:eastAsiaTheme="minorEastAsia" w:hAnsi="Arial" w:cs="Arial"/>
          <w:b/>
          <w:bCs/>
          <w:caps/>
          <w:sz w:val="22"/>
          <w:szCs w:val="22"/>
          <w:lang w:eastAsia="it-IT"/>
        </w:rPr>
      </w:pPr>
    </w:p>
    <w:p w14:paraId="5E6F62AB" w14:textId="2D7695FD" w:rsidR="00B62771" w:rsidRDefault="003B1F75">
      <w:pPr>
        <w:jc w:val="both"/>
        <w:rPr>
          <w:rFonts w:ascii="Arial" w:eastAsiaTheme="minorEastAsia" w:hAnsi="Arial" w:cs="Arial"/>
          <w:b/>
          <w:bCs/>
          <w:caps/>
          <w:sz w:val="22"/>
          <w:szCs w:val="22"/>
          <w:lang w:eastAsia="it-IT"/>
        </w:rPr>
      </w:pPr>
      <w:r w:rsidRPr="00B62771">
        <w:rPr>
          <w:rFonts w:ascii="Arial" w:eastAsiaTheme="minorEastAsia" w:hAnsi="Arial" w:cs="Arial"/>
          <w:b/>
          <w:bCs/>
          <w:caps/>
          <w:sz w:val="22"/>
          <w:szCs w:val="22"/>
          <w:lang w:eastAsia="it-IT"/>
        </w:rPr>
        <w:t>“Sorgente di atomi freddi di itterbio per esperimenti di informazione quantistica”</w:t>
      </w:r>
      <w:r w:rsidR="00B62771">
        <w:rPr>
          <w:rFonts w:ascii="Arial" w:eastAsiaTheme="minorEastAsia" w:hAnsi="Arial" w:cs="Arial"/>
          <w:b/>
          <w:bCs/>
          <w:caps/>
          <w:sz w:val="22"/>
          <w:szCs w:val="22"/>
          <w:lang w:eastAsia="it-IT"/>
        </w:rPr>
        <w:t xml:space="preserve"> </w:t>
      </w:r>
    </w:p>
    <w:p w14:paraId="2DE10B2D" w14:textId="77777777" w:rsidR="00B62771" w:rsidRDefault="00B62771">
      <w:pPr>
        <w:jc w:val="both"/>
        <w:rPr>
          <w:rFonts w:ascii="Arial" w:eastAsiaTheme="minorEastAsia" w:hAnsi="Arial" w:cs="Arial"/>
          <w:b/>
          <w:bCs/>
          <w:caps/>
          <w:sz w:val="22"/>
          <w:szCs w:val="22"/>
          <w:lang w:eastAsia="it-IT"/>
        </w:rPr>
      </w:pPr>
    </w:p>
    <w:p w14:paraId="2642A4AB" w14:textId="72291A40" w:rsidR="00AE55CA" w:rsidRDefault="003B1F75">
      <w:pPr>
        <w:jc w:val="both"/>
        <w:rPr>
          <w:rFonts w:ascii="Arial" w:eastAsiaTheme="minorEastAsia" w:hAnsi="Arial" w:cs="Arial"/>
          <w:b/>
          <w:bCs/>
          <w:caps/>
          <w:sz w:val="22"/>
          <w:szCs w:val="22"/>
          <w:lang w:eastAsia="it-IT"/>
        </w:rPr>
      </w:pPr>
      <w:r>
        <w:rPr>
          <w:rFonts w:ascii="Arial" w:eastAsiaTheme="minorEastAsia" w:hAnsi="Arial" w:cs="Arial"/>
          <w:b/>
          <w:bCs/>
          <w:caps/>
          <w:sz w:val="22"/>
          <w:szCs w:val="22"/>
          <w:lang w:eastAsia="it-IT"/>
        </w:rPr>
        <w:t xml:space="preserve">nell’ambito del Piano Nazionale Ripresa e Resilienza (PNRR) Missione 4 “Istruzione e Ricerca”, Componente 2, “Dalla ricerca all’impresa”, Linea di investimento 3.1, “Fondo per la realizzazione di un sistema integrato di infrastrutture di ricerca e innovazione”, Progetto IPHOQS “Integrated Infrastructure Initiative in Photonic and Quantum Sciences”, codice identificativo “IR0000016” CUP B53C22001750006 </w:t>
      </w:r>
      <w:r>
        <w:rPr>
          <w:rFonts w:ascii="Arial" w:eastAsiaTheme="minorEastAsia" w:hAnsi="Arial" w:cs="Arial"/>
          <w:b/>
          <w:bCs/>
          <w:caps/>
          <w:sz w:val="22"/>
          <w:szCs w:val="22"/>
          <w:highlight w:val="yellow"/>
          <w:lang w:eastAsia="it-IT"/>
        </w:rPr>
        <w:t xml:space="preserve">CIG ________________ </w:t>
      </w:r>
      <w:r w:rsidRPr="00B62771">
        <w:rPr>
          <w:rFonts w:ascii="Arial" w:eastAsiaTheme="minorEastAsia" w:hAnsi="Arial" w:cs="Arial"/>
          <w:b/>
          <w:bCs/>
          <w:caps/>
          <w:sz w:val="22"/>
          <w:szCs w:val="22"/>
          <w:lang w:eastAsia="it-IT"/>
        </w:rPr>
        <w:t>- CUI F80054330586202300365</w:t>
      </w:r>
      <w:r>
        <w:rPr>
          <w:rFonts w:ascii="Arial" w:eastAsiaTheme="minorEastAsia" w:hAnsi="Arial" w:cs="Arial"/>
          <w:b/>
          <w:bCs/>
          <w:caps/>
          <w:sz w:val="22"/>
          <w:szCs w:val="22"/>
          <w:lang w:eastAsia="it-IT"/>
        </w:rPr>
        <w:t xml:space="preserve"> </w:t>
      </w:r>
    </w:p>
    <w:p w14:paraId="65B3E87E" w14:textId="77777777" w:rsidR="00AE55CA" w:rsidRDefault="00AE55CA">
      <w:pPr>
        <w:jc w:val="both"/>
        <w:rPr>
          <w:rFonts w:ascii="Arial" w:eastAsiaTheme="minorEastAsia" w:hAnsi="Arial" w:cs="Arial"/>
          <w:b/>
          <w:bCs/>
          <w:caps/>
          <w:sz w:val="32"/>
          <w:szCs w:val="32"/>
          <w:lang w:eastAsia="it-IT"/>
        </w:rPr>
      </w:pPr>
    </w:p>
    <w:p w14:paraId="41EB28B4" w14:textId="77777777" w:rsidR="00AE55CA" w:rsidRDefault="00AE55CA">
      <w:pPr>
        <w:jc w:val="both"/>
        <w:rPr>
          <w:rFonts w:ascii="Arial" w:eastAsiaTheme="minorEastAsia" w:hAnsi="Arial" w:cs="Arial"/>
          <w:b/>
          <w:bCs/>
          <w:caps/>
          <w:sz w:val="28"/>
          <w:szCs w:val="28"/>
          <w:lang w:eastAsia="it-IT"/>
        </w:rPr>
      </w:pPr>
    </w:p>
    <w:p w14:paraId="75854FB0" w14:textId="77777777" w:rsidR="00AE55CA" w:rsidRDefault="00AE55CA">
      <w:pPr>
        <w:jc w:val="both"/>
        <w:rPr>
          <w:rFonts w:ascii="Arial" w:eastAsiaTheme="minorEastAsia" w:hAnsi="Arial" w:cs="Arial"/>
          <w:b/>
          <w:bCs/>
          <w:caps/>
          <w:sz w:val="28"/>
          <w:szCs w:val="28"/>
          <w:lang w:eastAsia="it-IT"/>
        </w:rPr>
      </w:pPr>
    </w:p>
    <w:p w14:paraId="164F0C06" w14:textId="77777777" w:rsidR="00AE55CA" w:rsidRDefault="00AE55CA">
      <w:pPr>
        <w:jc w:val="both"/>
        <w:rPr>
          <w:rFonts w:ascii="Arial" w:eastAsiaTheme="minorEastAsia" w:hAnsi="Arial" w:cs="Arial"/>
          <w:b/>
          <w:bCs/>
          <w:caps/>
          <w:sz w:val="28"/>
          <w:szCs w:val="28"/>
          <w:lang w:eastAsia="it-IT"/>
        </w:rPr>
      </w:pPr>
    </w:p>
    <w:p w14:paraId="718D0A09" w14:textId="77777777" w:rsidR="00AE55CA" w:rsidRDefault="00AE55CA">
      <w:pPr>
        <w:jc w:val="both"/>
        <w:rPr>
          <w:rFonts w:ascii="Arial" w:eastAsiaTheme="minorEastAsia" w:hAnsi="Arial" w:cs="Arial"/>
          <w:b/>
          <w:bCs/>
          <w:caps/>
          <w:sz w:val="28"/>
          <w:szCs w:val="28"/>
          <w:lang w:eastAsia="it-IT"/>
        </w:rPr>
      </w:pPr>
    </w:p>
    <w:p w14:paraId="4AC6DC87" w14:textId="77777777" w:rsidR="00AE55CA" w:rsidRDefault="00AE55CA">
      <w:pPr>
        <w:jc w:val="both"/>
        <w:rPr>
          <w:rFonts w:ascii="Arial" w:eastAsiaTheme="minorEastAsia" w:hAnsi="Arial" w:cs="Arial"/>
          <w:b/>
          <w:bCs/>
          <w:caps/>
          <w:sz w:val="28"/>
          <w:szCs w:val="28"/>
          <w:lang w:eastAsia="it-IT"/>
        </w:rPr>
      </w:pPr>
    </w:p>
    <w:p w14:paraId="4A06F831" w14:textId="77777777" w:rsidR="00AE55CA" w:rsidRDefault="00AE55CA">
      <w:pPr>
        <w:jc w:val="both"/>
        <w:rPr>
          <w:rFonts w:ascii="Arial" w:eastAsiaTheme="minorEastAsia" w:hAnsi="Arial" w:cs="Arial"/>
          <w:b/>
          <w:bCs/>
          <w:caps/>
          <w:sz w:val="28"/>
          <w:szCs w:val="28"/>
          <w:lang w:eastAsia="it-IT"/>
        </w:rPr>
      </w:pPr>
    </w:p>
    <w:p w14:paraId="086C3EC7" w14:textId="77777777" w:rsidR="00AE55CA" w:rsidRDefault="00AE55CA">
      <w:pPr>
        <w:jc w:val="both"/>
        <w:rPr>
          <w:rFonts w:ascii="Arial" w:eastAsiaTheme="minorEastAsia" w:hAnsi="Arial" w:cs="Arial"/>
          <w:b/>
          <w:bCs/>
          <w:caps/>
          <w:sz w:val="28"/>
          <w:szCs w:val="28"/>
          <w:lang w:eastAsia="it-IT"/>
        </w:rPr>
      </w:pPr>
    </w:p>
    <w:p w14:paraId="3BB11D01" w14:textId="77777777" w:rsidR="00AE55CA" w:rsidRDefault="00AE55CA">
      <w:pPr>
        <w:jc w:val="both"/>
        <w:rPr>
          <w:rFonts w:ascii="Arial" w:eastAsiaTheme="minorEastAsia" w:hAnsi="Arial" w:cs="Arial"/>
          <w:b/>
          <w:bCs/>
          <w:caps/>
          <w:sz w:val="28"/>
          <w:szCs w:val="28"/>
          <w:lang w:eastAsia="it-IT"/>
        </w:rPr>
      </w:pPr>
    </w:p>
    <w:p w14:paraId="14B2787F" w14:textId="77777777" w:rsidR="00AE55CA" w:rsidRDefault="003B1F75">
      <w:pPr>
        <w:jc w:val="center"/>
        <w:rPr>
          <w:rFonts w:ascii="Arial" w:eastAsiaTheme="minorEastAsia" w:hAnsi="Arial" w:cs="Arial"/>
          <w:b/>
          <w:bCs/>
          <w:caps/>
          <w:sz w:val="28"/>
          <w:szCs w:val="28"/>
          <w:lang w:eastAsia="it-IT"/>
        </w:rPr>
      </w:pPr>
      <w:r>
        <w:rPr>
          <w:rFonts w:ascii="Arial" w:eastAsiaTheme="minorEastAsia" w:hAnsi="Arial" w:cs="Arial"/>
          <w:b/>
          <w:bCs/>
          <w:caps/>
          <w:sz w:val="28"/>
          <w:szCs w:val="28"/>
          <w:lang w:eastAsia="it-IT"/>
        </w:rPr>
        <w:t xml:space="preserve">CONDIZIONI PARTICOLARI RDO MEPA </w:t>
      </w:r>
      <w:r>
        <w:rPr>
          <w:rFonts w:ascii="Arial" w:eastAsiaTheme="minorEastAsia" w:hAnsi="Arial" w:cs="Arial"/>
          <w:b/>
          <w:bCs/>
          <w:caps/>
          <w:sz w:val="28"/>
          <w:szCs w:val="28"/>
          <w:highlight w:val="yellow"/>
          <w:lang w:eastAsia="it-IT"/>
        </w:rPr>
        <w:t>N. __________________</w:t>
      </w:r>
    </w:p>
    <w:p w14:paraId="1DC55E68" w14:textId="77777777" w:rsidR="00AE55CA" w:rsidRDefault="00AE55CA">
      <w:pPr>
        <w:pStyle w:val="Corpotesto"/>
        <w:contextualSpacing/>
        <w:jc w:val="center"/>
        <w:rPr>
          <w:rFonts w:eastAsiaTheme="minorEastAsia" w:cs="Arial"/>
          <w:b/>
          <w:bCs/>
          <w:caps/>
          <w:sz w:val="28"/>
          <w:szCs w:val="28"/>
          <w:lang w:eastAsia="it-IT"/>
        </w:rPr>
      </w:pPr>
    </w:p>
    <w:p w14:paraId="37C36D16" w14:textId="77777777" w:rsidR="00AE55CA" w:rsidRDefault="003B1F75">
      <w:pPr>
        <w:rPr>
          <w:rFonts w:ascii="Arial" w:hAnsi="Arial" w:cs="Arial"/>
          <w:sz w:val="20"/>
          <w:szCs w:val="20"/>
        </w:rPr>
      </w:pPr>
      <w:r>
        <w:br w:type="page"/>
      </w:r>
    </w:p>
    <w:p w14:paraId="5F3CAC66" w14:textId="77777777" w:rsidR="00AE55CA" w:rsidRDefault="003B1F75">
      <w:pPr>
        <w:pStyle w:val="Titolo1"/>
        <w:tabs>
          <w:tab w:val="left" w:pos="284"/>
          <w:tab w:val="left" w:pos="567"/>
          <w:tab w:val="left" w:pos="709"/>
        </w:tabs>
        <w:ind w:left="0" w:firstLine="0"/>
        <w:rPr>
          <w:rFonts w:ascii="Arial" w:eastAsiaTheme="minorEastAsia" w:hAnsi="Arial" w:cs="Arial"/>
          <w:lang w:eastAsia="it-IT"/>
        </w:rPr>
      </w:pPr>
      <w:bookmarkStart w:id="0" w:name="_Toc127539086"/>
      <w:bookmarkStart w:id="1" w:name="_Toc121120680"/>
      <w:r>
        <w:rPr>
          <w:rFonts w:ascii="Arial" w:eastAsiaTheme="minorEastAsia" w:hAnsi="Arial" w:cs="Arial"/>
          <w:lang w:eastAsia="it-IT"/>
        </w:rPr>
        <w:lastRenderedPageBreak/>
        <w:t>PREMESSE</w:t>
      </w:r>
      <w:bookmarkEnd w:id="0"/>
      <w:bookmarkEnd w:id="1"/>
    </w:p>
    <w:p w14:paraId="35AEA2DE"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07AAE203" w14:textId="6F131A82" w:rsidR="00AE55CA" w:rsidRDefault="006323A7">
      <w:pPr>
        <w:tabs>
          <w:tab w:val="left" w:pos="567"/>
          <w:tab w:val="left" w:pos="709"/>
        </w:tabs>
        <w:contextualSpacing/>
        <w:jc w:val="both"/>
        <w:rPr>
          <w:rFonts w:ascii="Arial" w:eastAsiaTheme="minorEastAsia" w:hAnsi="Arial" w:cs="Arial"/>
          <w:sz w:val="20"/>
          <w:szCs w:val="20"/>
          <w:lang w:eastAsia="it-IT"/>
        </w:rPr>
      </w:pPr>
      <w:r w:rsidRPr="006323A7">
        <w:rPr>
          <w:rFonts w:ascii="Arial" w:eastAsiaTheme="minorEastAsia" w:hAnsi="Arial" w:cs="Arial"/>
          <w:sz w:val="20"/>
          <w:szCs w:val="20"/>
          <w:lang w:eastAsia="it-IT"/>
        </w:rPr>
        <w:t>la Stazione appaltante Istituto Nazionale di Ottica del Consiglio Nazionale delle Ricerche, CNR-INO</w:t>
      </w:r>
      <w:r>
        <w:rPr>
          <w:rFonts w:ascii="Arial" w:eastAsiaTheme="minorEastAsia" w:hAnsi="Arial" w:cs="Arial"/>
          <w:sz w:val="20"/>
          <w:szCs w:val="20"/>
          <w:lang w:eastAsia="it-IT"/>
        </w:rPr>
        <w:t xml:space="preserve"> </w:t>
      </w:r>
      <w:r w:rsidR="003B1F75">
        <w:rPr>
          <w:rFonts w:ascii="Arial" w:eastAsiaTheme="minorEastAsia" w:hAnsi="Arial" w:cs="Arial"/>
          <w:sz w:val="20"/>
          <w:szCs w:val="20"/>
          <w:lang w:eastAsia="it-IT"/>
        </w:rPr>
        <w:t xml:space="preserve">(nel seguito per brevità anche “Amministrazione”), con </w:t>
      </w:r>
      <w:r w:rsidR="003B1F75">
        <w:rPr>
          <w:rFonts w:ascii="Arial" w:eastAsiaTheme="minorEastAsia" w:hAnsi="Arial" w:cs="Arial"/>
          <w:sz w:val="20"/>
          <w:szCs w:val="20"/>
          <w:highlight w:val="yellow"/>
          <w:lang w:eastAsia="it-IT"/>
        </w:rPr>
        <w:t xml:space="preserve">decisione di contrarre Prot. n. </w:t>
      </w:r>
      <w:r w:rsidR="003B1F75">
        <w:rPr>
          <w:rFonts w:ascii="Arial" w:eastAsia="Calibri" w:hAnsi="Arial" w:cs="Arial"/>
          <w:bCs/>
          <w:sz w:val="20"/>
          <w:szCs w:val="20"/>
          <w:highlight w:val="yellow"/>
        </w:rPr>
        <w:t>__________</w:t>
      </w:r>
      <w:r w:rsidR="003B1F75">
        <w:rPr>
          <w:rFonts w:ascii="Arial" w:eastAsia="Calibri" w:hAnsi="Arial" w:cs="Arial"/>
          <w:bCs/>
          <w:sz w:val="20"/>
          <w:szCs w:val="20"/>
        </w:rPr>
        <w:t xml:space="preserve"> </w:t>
      </w:r>
      <w:r w:rsidR="003B1F75">
        <w:rPr>
          <w:rFonts w:ascii="Arial" w:eastAsiaTheme="minorEastAsia" w:hAnsi="Arial" w:cs="Arial"/>
          <w:sz w:val="20"/>
          <w:szCs w:val="20"/>
          <w:lang w:eastAsia="it-IT"/>
        </w:rPr>
        <w:t xml:space="preserve">ha autorizzato la procedura di acquisizione della fornitura di una </w:t>
      </w:r>
      <w:r w:rsidR="003B1F75" w:rsidRPr="0000461A">
        <w:rPr>
          <w:rFonts w:ascii="Arial" w:eastAsiaTheme="minorEastAsia" w:hAnsi="Arial" w:cs="Arial"/>
          <w:sz w:val="20"/>
          <w:szCs w:val="20"/>
          <w:lang w:eastAsia="it-IT"/>
        </w:rPr>
        <w:t>“sorgente di atomi freddi di itterbio per esperimenti di informazione quantistica</w:t>
      </w:r>
      <w:r w:rsidR="003B1F75" w:rsidRPr="0000461A">
        <w:rPr>
          <w:rFonts w:ascii="Arial" w:eastAsia="Calibri" w:hAnsi="Arial" w:cs="Arial"/>
          <w:bCs/>
          <w:sz w:val="20"/>
          <w:szCs w:val="20"/>
        </w:rPr>
        <w:t>”</w:t>
      </w:r>
      <w:r w:rsidR="003B1F75">
        <w:rPr>
          <w:rFonts w:ascii="Arial" w:hAnsi="Arial" w:cs="Arial"/>
          <w:bCs/>
          <w:iCs/>
          <w:sz w:val="20"/>
          <w:szCs w:val="20"/>
        </w:rPr>
        <w:t xml:space="preserve"> </w:t>
      </w:r>
      <w:r w:rsidR="003B1F75">
        <w:rPr>
          <w:rFonts w:ascii="Arial" w:eastAsiaTheme="minorEastAsia" w:hAnsi="Arial" w:cs="Arial"/>
          <w:sz w:val="20"/>
          <w:szCs w:val="20"/>
          <w:lang w:eastAsia="it-IT"/>
        </w:rPr>
        <w:t>ai sensi dell’art. 1 comma 2 lettera b) della Legge 120/2020 così come modificata dal D.L. 77/2021 convertito con modificazioni dalla Legge 108/2021, secondo le disposizioni contenute all’art. 225, comma 8, del D. Lgs. 36/2023 (nel seguito “Nuovo Codice”).</w:t>
      </w:r>
    </w:p>
    <w:p w14:paraId="41AD4BE1"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3044D8D2"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Not </w:t>
      </w:r>
      <w:proofErr w:type="spellStart"/>
      <w:r>
        <w:rPr>
          <w:rFonts w:ascii="Arial" w:hAnsi="Arial" w:cs="Arial"/>
          <w:sz w:val="20"/>
          <w:szCs w:val="20"/>
        </w:rPr>
        <w:t>Significant</w:t>
      </w:r>
      <w:proofErr w:type="spellEnd"/>
      <w:r>
        <w:rPr>
          <w:rFonts w:ascii="Arial" w:hAnsi="Arial" w:cs="Arial"/>
          <w:sz w:val="20"/>
          <w:szCs w:val="20"/>
        </w:rPr>
        <w:t xml:space="preserve"> </w:t>
      </w:r>
      <w:proofErr w:type="spellStart"/>
      <w:r>
        <w:rPr>
          <w:rFonts w:ascii="Arial" w:hAnsi="Arial" w:cs="Arial"/>
          <w:sz w:val="20"/>
          <w:szCs w:val="20"/>
        </w:rPr>
        <w:t>Harm</w:t>
      </w:r>
      <w:proofErr w:type="spellEnd"/>
      <w:r>
        <w:rPr>
          <w:rFonts w:ascii="Arial" w:hAnsi="Arial" w:cs="Arial"/>
          <w:sz w:val="20"/>
          <w:szCs w:val="20"/>
        </w:rPr>
        <w:t xml:space="preserve">” (DNSH) </w:t>
      </w:r>
      <w:proofErr w:type="spellStart"/>
      <w:r>
        <w:rPr>
          <w:rFonts w:ascii="Arial" w:hAnsi="Arial" w:cs="Arial"/>
          <w:sz w:val="20"/>
          <w:szCs w:val="20"/>
        </w:rPr>
        <w:t>nonchè</w:t>
      </w:r>
      <w:proofErr w:type="spellEnd"/>
      <w:r>
        <w:rPr>
          <w:rFonts w:ascii="Arial" w:hAnsi="Arial" w:cs="Arial"/>
          <w:sz w:val="20"/>
          <w:szCs w:val="20"/>
        </w:rPr>
        <w:t xml:space="preserve">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w:t>
      </w:r>
    </w:p>
    <w:p w14:paraId="7B6BEA3C" w14:textId="77777777" w:rsidR="00B62771" w:rsidRDefault="00B62771">
      <w:pPr>
        <w:tabs>
          <w:tab w:val="left" w:pos="567"/>
          <w:tab w:val="left" w:pos="709"/>
        </w:tabs>
        <w:contextualSpacing/>
        <w:jc w:val="both"/>
        <w:rPr>
          <w:rFonts w:ascii="Arial" w:hAnsi="Arial" w:cs="Arial"/>
          <w:sz w:val="20"/>
          <w:szCs w:val="20"/>
        </w:rPr>
      </w:pPr>
    </w:p>
    <w:p w14:paraId="5C3EC136" w14:textId="77777777" w:rsidR="00AE55CA" w:rsidRDefault="003B1F75">
      <w:pPr>
        <w:tabs>
          <w:tab w:val="left" w:pos="567"/>
          <w:tab w:val="left" w:pos="709"/>
        </w:tabs>
        <w:contextualSpacing/>
        <w:jc w:val="both"/>
        <w:rPr>
          <w:rStyle w:val="normaltextrun"/>
          <w:rFonts w:ascii="Arial" w:hAnsi="Arial" w:cs="Arial"/>
          <w:color w:val="000000"/>
          <w:sz w:val="20"/>
          <w:szCs w:val="20"/>
          <w:shd w:val="clear" w:color="auto" w:fill="FFFFFF"/>
        </w:rPr>
      </w:pPr>
      <w:r>
        <w:rPr>
          <w:rFonts w:ascii="Arial" w:hAnsi="Arial" w:cs="Arial"/>
          <w:sz w:val="20"/>
          <w:szCs w:val="20"/>
        </w:rPr>
        <w:t xml:space="preserve">Si precisa che al fine della dimostrazione del rispetto degli obblighi di cui al citato principio del DNSH, il presente intervento è ricompreso nella Missione </w:t>
      </w:r>
      <w:r>
        <w:rPr>
          <w:rFonts w:ascii="Arial" w:hAnsi="Arial" w:cs="Arial"/>
          <w:bCs/>
          <w:iCs/>
          <w:sz w:val="20"/>
          <w:szCs w:val="20"/>
        </w:rPr>
        <w:t>4 “Istruzione e Ricerca”</w:t>
      </w:r>
      <w:r>
        <w:rPr>
          <w:rFonts w:ascii="Arial" w:hAnsi="Arial" w:cs="Arial"/>
          <w:sz w:val="20"/>
          <w:szCs w:val="20"/>
        </w:rPr>
        <w:t xml:space="preserve">, Componente </w:t>
      </w:r>
      <w:r>
        <w:rPr>
          <w:rFonts w:ascii="Arial" w:hAnsi="Arial" w:cs="Arial"/>
          <w:bCs/>
          <w:iCs/>
          <w:sz w:val="20"/>
          <w:szCs w:val="20"/>
        </w:rPr>
        <w:t>2 “Dalla ricerca all’impresa”</w:t>
      </w:r>
      <w:r>
        <w:rPr>
          <w:rFonts w:ascii="Arial" w:hAnsi="Arial" w:cs="Arial"/>
          <w:sz w:val="20"/>
          <w:szCs w:val="20"/>
        </w:rPr>
        <w:t xml:space="preserve">, Investimento </w:t>
      </w:r>
      <w:r>
        <w:rPr>
          <w:rFonts w:ascii="Arial" w:hAnsi="Arial" w:cs="Arial"/>
          <w:bCs/>
          <w:iCs/>
          <w:sz w:val="20"/>
          <w:szCs w:val="20"/>
        </w:rPr>
        <w:t>3.1 “Fondo per la realizzazione di un sistema integrato di infrastrutture di ricerca e innovazione”</w:t>
      </w:r>
      <w:r>
        <w:rPr>
          <w:rFonts w:ascii="Arial" w:hAnsi="Arial" w:cs="Arial"/>
          <w:sz w:val="20"/>
          <w:szCs w:val="20"/>
        </w:rPr>
        <w:t xml:space="preserve"> Progetto </w:t>
      </w:r>
      <w:r>
        <w:rPr>
          <w:rStyle w:val="normaltextrun"/>
          <w:rFonts w:ascii="Arial" w:hAnsi="Arial" w:cs="Arial"/>
          <w:iCs/>
          <w:color w:val="000000"/>
          <w:sz w:val="20"/>
          <w:szCs w:val="20"/>
        </w:rPr>
        <w:t>IPHOQ</w:t>
      </w:r>
      <w:r>
        <w:rPr>
          <w:rStyle w:val="normaltextrun"/>
          <w:rFonts w:ascii="Arial" w:hAnsi="Arial" w:cs="Arial"/>
          <w:iCs/>
          <w:color w:val="000000"/>
          <w:sz w:val="20"/>
          <w:szCs w:val="20"/>
          <w:shd w:val="clear" w:color="auto" w:fill="FFFFFF"/>
        </w:rPr>
        <w:t>S</w:t>
      </w:r>
      <w:r>
        <w:rPr>
          <w:rFonts w:ascii="Arial" w:hAnsi="Arial" w:cs="Arial"/>
          <w:sz w:val="20"/>
          <w:szCs w:val="20"/>
        </w:rPr>
        <w:t xml:space="preserve"> “</w:t>
      </w:r>
      <w:proofErr w:type="spellStart"/>
      <w:r>
        <w:rPr>
          <w:rStyle w:val="normaltextrun"/>
          <w:rFonts w:ascii="Arial" w:hAnsi="Arial" w:cs="Arial"/>
          <w:iCs/>
          <w:color w:val="000000"/>
          <w:sz w:val="20"/>
          <w:szCs w:val="20"/>
          <w:shd w:val="clear" w:color="auto" w:fill="FFFFFF"/>
        </w:rPr>
        <w:t>Integrated</w:t>
      </w:r>
      <w:proofErr w:type="spellEnd"/>
      <w:r>
        <w:rPr>
          <w:rStyle w:val="normaltextrun"/>
          <w:rFonts w:ascii="Arial" w:hAnsi="Arial" w:cs="Arial"/>
          <w:iCs/>
          <w:color w:val="000000"/>
          <w:sz w:val="20"/>
          <w:szCs w:val="20"/>
          <w:shd w:val="clear" w:color="auto" w:fill="FFFFFF"/>
        </w:rPr>
        <w:t xml:space="preserve"> </w:t>
      </w:r>
      <w:proofErr w:type="spellStart"/>
      <w:r>
        <w:rPr>
          <w:rStyle w:val="normaltextrun"/>
          <w:rFonts w:ascii="Arial" w:hAnsi="Arial" w:cs="Arial"/>
          <w:iCs/>
          <w:color w:val="000000"/>
          <w:sz w:val="20"/>
          <w:szCs w:val="20"/>
          <w:shd w:val="clear" w:color="auto" w:fill="FFFFFF"/>
        </w:rPr>
        <w:t>Infrastructure</w:t>
      </w:r>
      <w:proofErr w:type="spellEnd"/>
      <w:r>
        <w:rPr>
          <w:rStyle w:val="normaltextrun"/>
          <w:rFonts w:ascii="Arial" w:hAnsi="Arial" w:cs="Arial"/>
          <w:iCs/>
          <w:color w:val="000000"/>
          <w:sz w:val="20"/>
          <w:szCs w:val="20"/>
          <w:shd w:val="clear" w:color="auto" w:fill="FFFFFF"/>
        </w:rPr>
        <w:t xml:space="preserve"> </w:t>
      </w:r>
      <w:proofErr w:type="spellStart"/>
      <w:r>
        <w:rPr>
          <w:rStyle w:val="normaltextrun"/>
          <w:rFonts w:ascii="Arial" w:hAnsi="Arial" w:cs="Arial"/>
          <w:iCs/>
          <w:color w:val="000000"/>
          <w:sz w:val="20"/>
          <w:szCs w:val="20"/>
          <w:shd w:val="clear" w:color="auto" w:fill="FFFFFF"/>
        </w:rPr>
        <w:t>Initiative</w:t>
      </w:r>
      <w:proofErr w:type="spellEnd"/>
      <w:r>
        <w:rPr>
          <w:rStyle w:val="normaltextrun"/>
          <w:rFonts w:ascii="Arial" w:hAnsi="Arial" w:cs="Arial"/>
          <w:iCs/>
          <w:color w:val="000000"/>
          <w:sz w:val="20"/>
          <w:szCs w:val="20"/>
          <w:shd w:val="clear" w:color="auto" w:fill="FFFFFF"/>
        </w:rPr>
        <w:t xml:space="preserve"> in </w:t>
      </w:r>
      <w:proofErr w:type="spellStart"/>
      <w:r>
        <w:rPr>
          <w:rStyle w:val="normaltextrun"/>
          <w:rFonts w:ascii="Arial" w:hAnsi="Arial" w:cs="Arial"/>
          <w:iCs/>
          <w:color w:val="000000"/>
          <w:sz w:val="20"/>
          <w:szCs w:val="20"/>
          <w:shd w:val="clear" w:color="auto" w:fill="FFFFFF"/>
        </w:rPr>
        <w:t>Photonic</w:t>
      </w:r>
      <w:proofErr w:type="spellEnd"/>
      <w:r>
        <w:rPr>
          <w:rStyle w:val="normaltextrun"/>
          <w:rFonts w:ascii="Arial" w:hAnsi="Arial" w:cs="Arial"/>
          <w:iCs/>
          <w:color w:val="000000"/>
          <w:sz w:val="20"/>
          <w:szCs w:val="20"/>
          <w:shd w:val="clear" w:color="auto" w:fill="FFFFFF"/>
        </w:rPr>
        <w:t xml:space="preserve"> and Quantum Sciences</w:t>
      </w:r>
      <w:r>
        <w:rPr>
          <w:rStyle w:val="normaltextrun"/>
          <w:rFonts w:ascii="Arial" w:hAnsi="Arial" w:cs="Arial"/>
          <w:color w:val="000000"/>
          <w:sz w:val="20"/>
          <w:szCs w:val="20"/>
          <w:shd w:val="clear" w:color="auto" w:fill="FFFFFF"/>
        </w:rPr>
        <w:t>”.</w:t>
      </w:r>
    </w:p>
    <w:p w14:paraId="607CC343" w14:textId="77777777" w:rsidR="00B62771" w:rsidRDefault="00B62771">
      <w:pPr>
        <w:tabs>
          <w:tab w:val="left" w:pos="567"/>
          <w:tab w:val="left" w:pos="709"/>
        </w:tabs>
        <w:contextualSpacing/>
        <w:jc w:val="both"/>
        <w:rPr>
          <w:rStyle w:val="normaltextrun"/>
          <w:rFonts w:ascii="Arial" w:hAnsi="Arial" w:cs="Arial"/>
          <w:color w:val="000000"/>
          <w:sz w:val="20"/>
          <w:szCs w:val="20"/>
          <w:shd w:val="clear" w:color="auto" w:fill="FFFFFF"/>
        </w:rPr>
      </w:pPr>
    </w:p>
    <w:p w14:paraId="3A8433D2" w14:textId="74E760E9" w:rsidR="00B62771" w:rsidRDefault="00B62771" w:rsidP="00B62771">
      <w:pPr>
        <w:tabs>
          <w:tab w:val="left" w:pos="567"/>
          <w:tab w:val="left" w:pos="709"/>
        </w:tabs>
        <w:autoSpaceDE w:val="0"/>
        <w:autoSpaceDN w:val="0"/>
        <w:adjustRightInd w:val="0"/>
        <w:contextualSpacing/>
        <w:jc w:val="both"/>
        <w:rPr>
          <w:rStyle w:val="normaltextrun"/>
          <w:rFonts w:ascii="Arial" w:hAnsi="Arial" w:cs="Arial"/>
          <w:color w:val="000000"/>
          <w:sz w:val="20"/>
          <w:szCs w:val="20"/>
          <w:shd w:val="clear" w:color="auto" w:fill="FFFFFF"/>
        </w:rPr>
      </w:pPr>
      <w:r w:rsidRPr="00B62771">
        <w:rPr>
          <w:rFonts w:ascii="Arial" w:hAnsi="Arial" w:cs="Arial"/>
          <w:color w:val="000000"/>
          <w:sz w:val="20"/>
          <w:szCs w:val="20"/>
          <w:shd w:val="clear" w:color="auto" w:fill="FFFFFF"/>
        </w:rPr>
        <w:t>La tipologia di fornitura si limita a non arrecare un danno significativo rispetto agli aspetti ambientali valutati nelle analisi DNSH, pertanto trova applicazione il regime del contributo minimo (Regime 2) che si traduce nel rispetto delle prescrizioni contenute nella scheda n. 3 “Acquisto di apparecchiature elettriche ed elettroniche” selezionata dalla Stazione Appaltante in conformità alla “Guida operativa per il rispetto del principio di non arrecare danno significativo all’ambiente” di cui alla circolare RGS nr. 33 del 13/10/2022, correlate alla Missione 4 Componente 2 Investimento 3.1</w:t>
      </w:r>
      <w:r>
        <w:rPr>
          <w:rFonts w:ascii="Arial" w:hAnsi="Arial" w:cs="Arial"/>
          <w:color w:val="000000"/>
          <w:sz w:val="20"/>
          <w:szCs w:val="20"/>
          <w:shd w:val="clear" w:color="auto" w:fill="FFFFFF"/>
        </w:rPr>
        <w:t>.</w:t>
      </w:r>
    </w:p>
    <w:p w14:paraId="3F946219" w14:textId="77777777" w:rsidR="00B62771" w:rsidRDefault="00B62771">
      <w:pPr>
        <w:tabs>
          <w:tab w:val="left" w:pos="567"/>
          <w:tab w:val="left" w:pos="709"/>
        </w:tabs>
        <w:contextualSpacing/>
        <w:jc w:val="both"/>
        <w:rPr>
          <w:rStyle w:val="normaltextrun"/>
          <w:rFonts w:ascii="Arial" w:hAnsi="Arial" w:cs="Arial"/>
          <w:color w:val="000000"/>
          <w:sz w:val="20"/>
          <w:szCs w:val="20"/>
          <w:shd w:val="clear" w:color="auto" w:fill="FFFFFF"/>
        </w:rPr>
      </w:pPr>
    </w:p>
    <w:p w14:paraId="0ACC3D79"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Le condizioni del contratto di appalto, che verrà concluso con l’Aggiudicatario, sono quelle di cui alla presente Lettera di invito e relativi allegati.</w:t>
      </w:r>
    </w:p>
    <w:p w14:paraId="585F0B78"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5147E37E"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È previsto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4DEF3E00"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6E2A6F0C"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L’offerta è vincolante per centottanta (180) giorni solari dalla scadenza del termine per la sua presentazione salvo motivata richiesta di differimento del termine da parte della Stazione appaltante. Le offerte inviate non vincoleranno in alcun modo la Stazione appaltante né all’aggiudicazione né alla stipulazione del contratto.</w:t>
      </w:r>
    </w:p>
    <w:p w14:paraId="6CF31286"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441A7F90" w14:textId="77777777" w:rsidR="00AE55CA" w:rsidRDefault="003B1F75">
      <w:pPr>
        <w:tabs>
          <w:tab w:val="left" w:pos="567"/>
          <w:tab w:val="left" w:pos="709"/>
        </w:tabs>
        <w:contextualSpacing/>
        <w:jc w:val="both"/>
        <w:rPr>
          <w:rFonts w:ascii="Arial" w:eastAsiaTheme="minorEastAsia" w:hAnsi="Arial" w:cs="Arial"/>
          <w:sz w:val="20"/>
          <w:szCs w:val="20"/>
          <w:lang w:eastAsia="it-IT"/>
        </w:rPr>
      </w:pPr>
      <w:bookmarkStart w:id="2" w:name="_Ref14865539"/>
      <w:r>
        <w:rPr>
          <w:rFonts w:ascii="Arial" w:eastAsiaTheme="minorEastAsia" w:hAnsi="Arial" w:cs="Arial"/>
          <w:sz w:val="20"/>
          <w:szCs w:val="20"/>
          <w:lang w:eastAsia="it-IT"/>
        </w:rPr>
        <w:t xml:space="preserve">Ai sensi dell’art. 15 del Nuovo Codice, il Responsabile Unico del Progetto (nel seguito per brevità anche “RUP”), </w:t>
      </w:r>
      <w:r w:rsidRPr="003B1F75">
        <w:rPr>
          <w:rFonts w:ascii="Arial" w:eastAsiaTheme="minorEastAsia" w:hAnsi="Arial" w:cs="Arial"/>
          <w:sz w:val="20"/>
          <w:szCs w:val="20"/>
          <w:lang w:eastAsia="it-IT"/>
        </w:rPr>
        <w:t>è il Dott. Luigi Consolino e-mail:</w:t>
      </w:r>
      <w:r w:rsidRPr="003B1F75">
        <w:rPr>
          <w:rFonts w:ascii="Arial" w:hAnsi="Arial" w:cs="Arial"/>
          <w:sz w:val="20"/>
          <w:szCs w:val="20"/>
        </w:rPr>
        <w:t xml:space="preserve"> </w:t>
      </w:r>
      <w:hyperlink r:id="rId11">
        <w:r w:rsidRPr="003B1F75">
          <w:rPr>
            <w:rStyle w:val="CollegamentoInternet"/>
            <w:rFonts w:ascii="Arial" w:eastAsia="Calibri" w:hAnsi="Arial" w:cs="Arial"/>
            <w:bCs/>
            <w:sz w:val="20"/>
            <w:szCs w:val="20"/>
          </w:rPr>
          <w:t>luigi.consolino@ino.cnr.it</w:t>
        </w:r>
      </w:hyperlink>
      <w:r w:rsidRPr="003B1F75">
        <w:rPr>
          <w:rFonts w:ascii="Arial" w:eastAsia="Calibri" w:hAnsi="Arial" w:cs="Arial"/>
          <w:bCs/>
          <w:sz w:val="20"/>
          <w:szCs w:val="20"/>
        </w:rPr>
        <w:t xml:space="preserve"> </w:t>
      </w:r>
      <w:r w:rsidRPr="003B1F75">
        <w:rPr>
          <w:rFonts w:ascii="Arial" w:eastAsiaTheme="minorEastAsia" w:hAnsi="Arial" w:cs="Arial"/>
          <w:sz w:val="20"/>
          <w:szCs w:val="20"/>
          <w:lang w:eastAsia="it-IT"/>
        </w:rPr>
        <w:t>–</w:t>
      </w:r>
      <w:r>
        <w:rPr>
          <w:rFonts w:ascii="Arial" w:eastAsiaTheme="minorEastAsia" w:hAnsi="Arial" w:cs="Arial"/>
          <w:sz w:val="20"/>
          <w:szCs w:val="20"/>
          <w:lang w:eastAsia="it-IT"/>
        </w:rPr>
        <w:t xml:space="preserve"> </w:t>
      </w:r>
      <w:bookmarkEnd w:id="2"/>
      <w:r>
        <w:rPr>
          <w:rFonts w:ascii="Arial" w:eastAsiaTheme="minorEastAsia" w:hAnsi="Arial" w:cs="Arial"/>
          <w:sz w:val="20"/>
          <w:szCs w:val="20"/>
          <w:lang w:eastAsia="it-IT"/>
        </w:rPr>
        <w:t xml:space="preserve"> PEC: </w:t>
      </w:r>
      <w:hyperlink r:id="rId12">
        <w:r>
          <w:rPr>
            <w:rStyle w:val="CollegamentoInternet"/>
            <w:rFonts w:ascii="Arial" w:eastAsia="Calibri" w:hAnsi="Arial" w:cs="Arial"/>
            <w:bCs/>
            <w:sz w:val="20"/>
            <w:szCs w:val="20"/>
          </w:rPr>
          <w:t>protocollo.ino@pec.cnr.it</w:t>
        </w:r>
      </w:hyperlink>
      <w:r>
        <w:rPr>
          <w:rFonts w:ascii="Arial" w:eastAsiaTheme="minorEastAsia" w:hAnsi="Arial" w:cs="Arial"/>
          <w:sz w:val="20"/>
          <w:szCs w:val="20"/>
          <w:lang w:eastAsia="it-IT"/>
        </w:rPr>
        <w:t xml:space="preserve">. </w:t>
      </w:r>
    </w:p>
    <w:p w14:paraId="479C8BE8"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5BB01FE4"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Ai sensi dell’articolo 22 del Nuovo Codice, la presente procedura è svolta tramite il sistema informatico per le procedure telematiche di acquisto accessibile all’indirizzo </w:t>
      </w:r>
      <w:hyperlink r:id="rId13">
        <w:r>
          <w:rPr>
            <w:rStyle w:val="CollegamentoInternet"/>
            <w:rFonts w:ascii="Arial" w:hAnsi="Arial" w:cs="Arial"/>
            <w:sz w:val="20"/>
            <w:szCs w:val="20"/>
          </w:rPr>
          <w:t>https://www.acquistinretepa.it</w:t>
        </w:r>
      </w:hyperlink>
      <w:r>
        <w:rPr>
          <w:rFonts w:ascii="Arial" w:hAnsi="Arial" w:cs="Arial"/>
          <w:sz w:val="20"/>
          <w:szCs w:val="20"/>
        </w:rPr>
        <w:t>. Tramite il sito si accede alla procedura nonché alla documentazione di gara. La procedura verrà regolamentata secondo le modalità previste dalle Regole del Sistema di e-procurement della pubblica amministrazione, integrate dalle ulteriori condizioni stabilite nella documentazione di gara.</w:t>
      </w:r>
    </w:p>
    <w:p w14:paraId="0EC45B27" w14:textId="77777777" w:rsidR="00AE55CA" w:rsidRDefault="00AE55CA">
      <w:pPr>
        <w:tabs>
          <w:tab w:val="left" w:pos="567"/>
          <w:tab w:val="left" w:pos="709"/>
        </w:tabs>
        <w:contextualSpacing/>
        <w:jc w:val="both"/>
        <w:rPr>
          <w:rFonts w:ascii="Arial" w:hAnsi="Arial" w:cs="Arial"/>
          <w:sz w:val="20"/>
          <w:szCs w:val="20"/>
        </w:rPr>
      </w:pPr>
    </w:p>
    <w:p w14:paraId="1DE99B2C" w14:textId="77777777" w:rsidR="00AE55CA" w:rsidRDefault="003B1F75">
      <w:pPr>
        <w:pStyle w:val="Titolo1"/>
        <w:tabs>
          <w:tab w:val="left" w:pos="284"/>
          <w:tab w:val="left" w:pos="709"/>
        </w:tabs>
        <w:ind w:left="0" w:firstLine="0"/>
        <w:rPr>
          <w:rFonts w:ascii="Arial" w:eastAsiaTheme="minorEastAsia" w:hAnsi="Arial" w:cs="Arial"/>
          <w:lang w:eastAsia="it-IT"/>
        </w:rPr>
      </w:pPr>
      <w:bookmarkStart w:id="3" w:name="_Toc121120681"/>
      <w:bookmarkStart w:id="4" w:name="_Toc127539087"/>
      <w:r>
        <w:rPr>
          <w:rFonts w:ascii="Arial" w:eastAsiaTheme="minorEastAsia" w:hAnsi="Arial" w:cs="Arial"/>
          <w:lang w:eastAsia="it-IT"/>
        </w:rPr>
        <w:t>OGGETTO E DESCRIZIONE DELL’APPALTO, IMPORTO A BASE DI NEGOZIAZIONE</w:t>
      </w:r>
      <w:bookmarkEnd w:id="3"/>
      <w:r>
        <w:rPr>
          <w:rFonts w:ascii="Arial" w:eastAsiaTheme="minorEastAsia" w:hAnsi="Arial" w:cs="Arial"/>
          <w:lang w:eastAsia="it-IT"/>
        </w:rPr>
        <w:t xml:space="preserve"> E CONTRIBUTO ANAC</w:t>
      </w:r>
      <w:bookmarkStart w:id="5" w:name="_Ref531015086"/>
      <w:bookmarkEnd w:id="4"/>
    </w:p>
    <w:p w14:paraId="25F29CB6" w14:textId="77777777" w:rsidR="00AE55CA" w:rsidRDefault="00AE55CA">
      <w:pPr>
        <w:contextualSpacing/>
        <w:rPr>
          <w:rFonts w:ascii="Arial" w:hAnsi="Arial" w:cs="Arial"/>
          <w:sz w:val="20"/>
          <w:szCs w:val="20"/>
          <w:lang w:eastAsia="it-IT"/>
        </w:rPr>
      </w:pPr>
    </w:p>
    <w:p w14:paraId="6772AEA8" w14:textId="77777777" w:rsidR="00AE55CA" w:rsidRDefault="003B1F75">
      <w:pPr>
        <w:pStyle w:val="Titolo2"/>
        <w:numPr>
          <w:ilvl w:val="1"/>
          <w:numId w:val="5"/>
        </w:numPr>
        <w:tabs>
          <w:tab w:val="left" w:pos="567"/>
          <w:tab w:val="left" w:pos="709"/>
        </w:tabs>
        <w:ind w:left="0" w:firstLine="0"/>
        <w:rPr>
          <w:rFonts w:ascii="Arial" w:eastAsiaTheme="minorEastAsia" w:hAnsi="Arial" w:cs="Arial"/>
          <w:lang w:eastAsia="it-IT"/>
        </w:rPr>
      </w:pPr>
      <w:bookmarkStart w:id="6" w:name="_Toc127539088"/>
      <w:r>
        <w:rPr>
          <w:rFonts w:ascii="Arial" w:eastAsiaTheme="minorEastAsia" w:hAnsi="Arial" w:cs="Arial"/>
          <w:lang w:eastAsia="it-IT"/>
        </w:rPr>
        <w:lastRenderedPageBreak/>
        <w:t>Oggetto e descrizione dell’appalto</w:t>
      </w:r>
      <w:bookmarkEnd w:id="5"/>
      <w:r>
        <w:rPr>
          <w:rFonts w:ascii="Arial" w:eastAsiaTheme="minorEastAsia" w:hAnsi="Arial" w:cs="Arial"/>
          <w:lang w:eastAsia="it-IT"/>
        </w:rPr>
        <w:t>:</w:t>
      </w:r>
      <w:bookmarkEnd w:id="6"/>
    </w:p>
    <w:p w14:paraId="35A35A3E" w14:textId="77777777" w:rsidR="00AE55CA" w:rsidRDefault="00AE55CA">
      <w:pPr>
        <w:tabs>
          <w:tab w:val="left" w:pos="567"/>
          <w:tab w:val="left" w:pos="709"/>
        </w:tabs>
        <w:contextualSpacing/>
        <w:rPr>
          <w:rFonts w:ascii="Arial" w:hAnsi="Arial" w:cs="Arial"/>
          <w:sz w:val="20"/>
          <w:szCs w:val="20"/>
          <w:lang w:eastAsia="it-IT"/>
        </w:rPr>
      </w:pPr>
    </w:p>
    <w:p w14:paraId="56C9D5FD" w14:textId="77777777" w:rsidR="00AE55CA" w:rsidRDefault="003B1F75">
      <w:pPr>
        <w:tabs>
          <w:tab w:val="left" w:pos="567"/>
          <w:tab w:val="left" w:pos="709"/>
        </w:tabs>
        <w:contextualSpacing/>
        <w:rPr>
          <w:rFonts w:ascii="Arial" w:hAnsi="Arial" w:cs="Arial"/>
          <w:b/>
          <w:sz w:val="20"/>
          <w:szCs w:val="20"/>
        </w:rPr>
      </w:pPr>
      <w:r>
        <w:rPr>
          <w:rFonts w:ascii="Arial" w:hAnsi="Arial" w:cs="Arial"/>
          <w:b/>
          <w:sz w:val="20"/>
          <w:szCs w:val="20"/>
        </w:rPr>
        <w:t>Descrizione del fabbisogno e del progetto</w:t>
      </w:r>
    </w:p>
    <w:p w14:paraId="1823201B" w14:textId="77777777" w:rsidR="00AE55CA" w:rsidRDefault="00AE55CA">
      <w:pPr>
        <w:tabs>
          <w:tab w:val="left" w:pos="567"/>
          <w:tab w:val="left" w:pos="709"/>
        </w:tabs>
        <w:contextualSpacing/>
        <w:rPr>
          <w:rFonts w:ascii="Arial" w:eastAsiaTheme="minorEastAsia" w:hAnsi="Arial" w:cs="Arial"/>
          <w:b/>
          <w:sz w:val="20"/>
          <w:szCs w:val="20"/>
          <w:lang w:eastAsia="it-IT"/>
        </w:rPr>
      </w:pPr>
    </w:p>
    <w:p w14:paraId="16937371" w14:textId="53BEF9DF" w:rsidR="00AE55CA" w:rsidRDefault="003B1F75">
      <w:pPr>
        <w:tabs>
          <w:tab w:val="left" w:pos="567"/>
          <w:tab w:val="left" w:pos="709"/>
        </w:tabs>
        <w:contextualSpacing/>
        <w:jc w:val="both"/>
        <w:rPr>
          <w:rFonts w:ascii="Arial" w:hAnsi="Arial" w:cs="Arial"/>
          <w:color w:val="000000"/>
          <w:sz w:val="20"/>
          <w:szCs w:val="20"/>
        </w:rPr>
      </w:pPr>
      <w:r w:rsidRPr="003B1F75">
        <w:rPr>
          <w:rFonts w:ascii="Arial" w:hAnsi="Arial" w:cs="Arial"/>
          <w:color w:val="000000"/>
          <w:sz w:val="20"/>
          <w:szCs w:val="20"/>
        </w:rPr>
        <w:t xml:space="preserve">Oggetto dell’appalto è: </w:t>
      </w:r>
      <w:r w:rsidR="00B62771">
        <w:rPr>
          <w:rFonts w:ascii="Arial" w:hAnsi="Arial" w:cs="Arial"/>
          <w:color w:val="000000"/>
          <w:sz w:val="20"/>
          <w:szCs w:val="20"/>
        </w:rPr>
        <w:t>f</w:t>
      </w:r>
      <w:r w:rsidRPr="003B1F75">
        <w:rPr>
          <w:rFonts w:ascii="Arial" w:hAnsi="Arial" w:cs="Arial"/>
          <w:color w:val="000000"/>
          <w:sz w:val="20"/>
          <w:szCs w:val="20"/>
        </w:rPr>
        <w:t xml:space="preserve">ornitura di una </w:t>
      </w:r>
      <w:r w:rsidRPr="003B1F75">
        <w:rPr>
          <w:rStyle w:val="normaltextrun"/>
          <w:rFonts w:ascii="Arial" w:hAnsi="Arial" w:cs="Arial"/>
          <w:iCs/>
          <w:color w:val="000000"/>
          <w:sz w:val="20"/>
          <w:szCs w:val="20"/>
        </w:rPr>
        <w:t>“sorgente di atomi freddi di itterbio per esperimenti di informazione quantistica</w:t>
      </w:r>
      <w:r w:rsidRPr="003B1F75">
        <w:rPr>
          <w:rStyle w:val="normaltextrun"/>
          <w:rFonts w:ascii="Arial" w:hAnsi="Arial" w:cs="Arial"/>
          <w:iCs/>
          <w:color w:val="000000"/>
          <w:sz w:val="20"/>
          <w:szCs w:val="20"/>
          <w:shd w:val="clear" w:color="auto" w:fill="FFFFFF"/>
        </w:rPr>
        <w:t>”</w:t>
      </w:r>
    </w:p>
    <w:p w14:paraId="31C08267" w14:textId="6084C34A" w:rsidR="00AE55CA" w:rsidRDefault="003B1F75">
      <w:pPr>
        <w:tabs>
          <w:tab w:val="left" w:pos="567"/>
          <w:tab w:val="left" w:pos="709"/>
        </w:tabs>
        <w:contextualSpacing/>
        <w:jc w:val="both"/>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 xml:space="preserve">L’appalto è finanziato con i fondi del progetto PNRR </w:t>
      </w:r>
      <w:r>
        <w:rPr>
          <w:rStyle w:val="normaltextrun"/>
          <w:rFonts w:ascii="Arial" w:hAnsi="Arial" w:cs="Arial"/>
          <w:iCs/>
          <w:color w:val="000000"/>
          <w:sz w:val="20"/>
          <w:szCs w:val="20"/>
        </w:rPr>
        <w:t>I</w:t>
      </w:r>
      <w:r w:rsidR="00B62771">
        <w:rPr>
          <w:rStyle w:val="normaltextrun"/>
          <w:rFonts w:ascii="Arial" w:hAnsi="Arial" w:cs="Arial"/>
          <w:iCs/>
          <w:color w:val="000000"/>
          <w:sz w:val="20"/>
          <w:szCs w:val="20"/>
        </w:rPr>
        <w:t>-</w:t>
      </w:r>
      <w:r>
        <w:rPr>
          <w:rStyle w:val="normaltextrun"/>
          <w:rFonts w:ascii="Arial" w:hAnsi="Arial" w:cs="Arial"/>
          <w:iCs/>
          <w:color w:val="000000"/>
          <w:sz w:val="20"/>
          <w:szCs w:val="20"/>
        </w:rPr>
        <w:t>PHOQ</w:t>
      </w:r>
      <w:r>
        <w:rPr>
          <w:rStyle w:val="normaltextrun"/>
          <w:rFonts w:ascii="Arial" w:hAnsi="Arial" w:cs="Arial"/>
          <w:iCs/>
          <w:color w:val="000000"/>
          <w:sz w:val="20"/>
          <w:szCs w:val="20"/>
          <w:shd w:val="clear" w:color="auto" w:fill="FFFFFF"/>
        </w:rPr>
        <w:t>S</w:t>
      </w:r>
      <w:r>
        <w:rPr>
          <w:rFonts w:ascii="Arial" w:hAnsi="Arial" w:cs="Arial"/>
          <w:sz w:val="20"/>
          <w:szCs w:val="20"/>
        </w:rPr>
        <w:t xml:space="preserve"> “</w:t>
      </w:r>
      <w:proofErr w:type="spellStart"/>
      <w:r>
        <w:rPr>
          <w:rStyle w:val="normaltextrun"/>
          <w:rFonts w:ascii="Arial" w:hAnsi="Arial" w:cs="Arial"/>
          <w:iCs/>
          <w:color w:val="000000"/>
          <w:sz w:val="20"/>
          <w:szCs w:val="20"/>
          <w:shd w:val="clear" w:color="auto" w:fill="FFFFFF"/>
        </w:rPr>
        <w:t>Integrated</w:t>
      </w:r>
      <w:proofErr w:type="spellEnd"/>
      <w:r>
        <w:rPr>
          <w:rStyle w:val="normaltextrun"/>
          <w:rFonts w:ascii="Arial" w:hAnsi="Arial" w:cs="Arial"/>
          <w:iCs/>
          <w:color w:val="000000"/>
          <w:sz w:val="20"/>
          <w:szCs w:val="20"/>
          <w:shd w:val="clear" w:color="auto" w:fill="FFFFFF"/>
        </w:rPr>
        <w:t xml:space="preserve"> </w:t>
      </w:r>
      <w:proofErr w:type="spellStart"/>
      <w:r>
        <w:rPr>
          <w:rStyle w:val="normaltextrun"/>
          <w:rFonts w:ascii="Arial" w:hAnsi="Arial" w:cs="Arial"/>
          <w:iCs/>
          <w:color w:val="000000"/>
          <w:sz w:val="20"/>
          <w:szCs w:val="20"/>
          <w:shd w:val="clear" w:color="auto" w:fill="FFFFFF"/>
        </w:rPr>
        <w:t>Infrastructure</w:t>
      </w:r>
      <w:proofErr w:type="spellEnd"/>
      <w:r>
        <w:rPr>
          <w:rStyle w:val="normaltextrun"/>
          <w:rFonts w:ascii="Arial" w:hAnsi="Arial" w:cs="Arial"/>
          <w:iCs/>
          <w:color w:val="000000"/>
          <w:sz w:val="20"/>
          <w:szCs w:val="20"/>
          <w:shd w:val="clear" w:color="auto" w:fill="FFFFFF"/>
        </w:rPr>
        <w:t xml:space="preserve"> </w:t>
      </w:r>
      <w:proofErr w:type="spellStart"/>
      <w:r>
        <w:rPr>
          <w:rStyle w:val="normaltextrun"/>
          <w:rFonts w:ascii="Arial" w:hAnsi="Arial" w:cs="Arial"/>
          <w:iCs/>
          <w:color w:val="000000"/>
          <w:sz w:val="20"/>
          <w:szCs w:val="20"/>
          <w:shd w:val="clear" w:color="auto" w:fill="FFFFFF"/>
        </w:rPr>
        <w:t>Initiative</w:t>
      </w:r>
      <w:proofErr w:type="spellEnd"/>
      <w:r>
        <w:rPr>
          <w:rStyle w:val="normaltextrun"/>
          <w:rFonts w:ascii="Arial" w:hAnsi="Arial" w:cs="Arial"/>
          <w:iCs/>
          <w:color w:val="000000"/>
          <w:sz w:val="20"/>
          <w:szCs w:val="20"/>
          <w:shd w:val="clear" w:color="auto" w:fill="FFFFFF"/>
        </w:rPr>
        <w:t xml:space="preserve"> in </w:t>
      </w:r>
      <w:proofErr w:type="spellStart"/>
      <w:r>
        <w:rPr>
          <w:rStyle w:val="normaltextrun"/>
          <w:rFonts w:ascii="Arial" w:hAnsi="Arial" w:cs="Arial"/>
          <w:iCs/>
          <w:color w:val="000000"/>
          <w:sz w:val="20"/>
          <w:szCs w:val="20"/>
          <w:shd w:val="clear" w:color="auto" w:fill="FFFFFF"/>
        </w:rPr>
        <w:t>Photonic</w:t>
      </w:r>
      <w:proofErr w:type="spellEnd"/>
      <w:r>
        <w:rPr>
          <w:rStyle w:val="normaltextrun"/>
          <w:rFonts w:ascii="Arial" w:hAnsi="Arial" w:cs="Arial"/>
          <w:iCs/>
          <w:color w:val="000000"/>
          <w:sz w:val="20"/>
          <w:szCs w:val="20"/>
          <w:shd w:val="clear" w:color="auto" w:fill="FFFFFF"/>
        </w:rPr>
        <w:t xml:space="preserve"> and Quantum Sciences</w:t>
      </w:r>
      <w:r>
        <w:rPr>
          <w:rStyle w:val="normaltextrun"/>
          <w:rFonts w:ascii="Arial" w:hAnsi="Arial" w:cs="Arial"/>
          <w:color w:val="000000"/>
          <w:sz w:val="20"/>
          <w:szCs w:val="20"/>
          <w:shd w:val="clear" w:color="auto" w:fill="FFFFFF"/>
        </w:rPr>
        <w:t>”.</w:t>
      </w:r>
    </w:p>
    <w:p w14:paraId="415786C7"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55DA6692" w14:textId="77777777" w:rsidR="00AE55CA" w:rsidRDefault="003B1F75">
      <w:pPr>
        <w:tabs>
          <w:tab w:val="left" w:pos="567"/>
          <w:tab w:val="left" w:pos="709"/>
        </w:tabs>
        <w:contextualSpacing/>
        <w:rPr>
          <w:rFonts w:ascii="Arial" w:hAnsi="Arial" w:cs="Arial"/>
          <w:b/>
          <w:sz w:val="20"/>
          <w:szCs w:val="20"/>
        </w:rPr>
      </w:pPr>
      <w:r>
        <w:rPr>
          <w:rFonts w:ascii="Arial" w:hAnsi="Arial" w:cs="Arial"/>
          <w:b/>
          <w:sz w:val="20"/>
          <w:szCs w:val="20"/>
        </w:rPr>
        <w:t>Caratteristiche tecniche e funzionalità minime della fornitura</w:t>
      </w:r>
    </w:p>
    <w:p w14:paraId="369DC68E" w14:textId="77777777" w:rsidR="00AE55CA" w:rsidRDefault="00AE55CA">
      <w:pPr>
        <w:tabs>
          <w:tab w:val="left" w:pos="567"/>
          <w:tab w:val="left" w:pos="709"/>
        </w:tabs>
        <w:contextualSpacing/>
        <w:rPr>
          <w:rFonts w:ascii="Arial" w:hAnsi="Arial" w:cs="Arial"/>
          <w:b/>
          <w:sz w:val="20"/>
          <w:szCs w:val="20"/>
        </w:rPr>
      </w:pPr>
    </w:p>
    <w:p w14:paraId="5DD7156B" w14:textId="77777777" w:rsidR="00AE55CA" w:rsidRDefault="003B1F75">
      <w:pPr>
        <w:contextualSpacing/>
        <w:jc w:val="both"/>
        <w:rPr>
          <w:rFonts w:ascii="Arial" w:hAnsi="Arial" w:cs="Arial"/>
          <w:sz w:val="20"/>
          <w:szCs w:val="20"/>
        </w:rPr>
      </w:pPr>
      <w:r w:rsidRPr="003B1F75">
        <w:rPr>
          <w:rFonts w:ascii="Arial" w:eastAsia="Calibri" w:hAnsi="Arial" w:cs="Arial"/>
          <w:sz w:val="20"/>
          <w:szCs w:val="20"/>
        </w:rPr>
        <w:t>Il sistema deve comprendere:</w:t>
      </w:r>
      <w:r>
        <w:rPr>
          <w:rFonts w:ascii="Arial" w:eastAsia="Calibri" w:hAnsi="Arial" w:cs="Arial"/>
          <w:sz w:val="20"/>
          <w:szCs w:val="20"/>
        </w:rPr>
        <w:t xml:space="preserve"> </w:t>
      </w:r>
    </w:p>
    <w:p w14:paraId="1F5D8FED" w14:textId="77777777" w:rsidR="00AE55CA" w:rsidRDefault="003B1F75">
      <w:pPr>
        <w:contextualSpacing/>
        <w:jc w:val="both"/>
        <w:rPr>
          <w:rFonts w:ascii="Arial" w:hAnsi="Arial" w:cs="Arial"/>
          <w:sz w:val="20"/>
          <w:szCs w:val="20"/>
        </w:rPr>
      </w:pPr>
      <w:r>
        <w:rPr>
          <w:rFonts w:ascii="Arial" w:eastAsia="Calibri" w:hAnsi="Arial" w:cs="Arial"/>
          <w:sz w:val="20"/>
          <w:szCs w:val="20"/>
        </w:rPr>
        <w:t>1) sorgente atomica (camere da vuoto + unità di pompaggio + ottiche di lancio della radiazione UV sugli atomi),</w:t>
      </w:r>
    </w:p>
    <w:p w14:paraId="636739B5" w14:textId="77777777" w:rsidR="00AE55CA" w:rsidRDefault="003B1F75">
      <w:pPr>
        <w:contextualSpacing/>
        <w:jc w:val="both"/>
        <w:rPr>
          <w:rFonts w:ascii="Arial" w:hAnsi="Arial" w:cs="Arial"/>
          <w:sz w:val="20"/>
          <w:szCs w:val="20"/>
        </w:rPr>
      </w:pPr>
      <w:r>
        <w:rPr>
          <w:rFonts w:ascii="Arial" w:eastAsia="Calibri" w:hAnsi="Arial" w:cs="Arial"/>
          <w:sz w:val="20"/>
          <w:szCs w:val="20"/>
        </w:rPr>
        <w:t xml:space="preserve">2) sorgente laser (circa 800mW a 399nm, regolabile in frequenza e adatta per spettroscopia sub-Doppler su </w:t>
      </w:r>
      <w:proofErr w:type="spellStart"/>
      <w:r>
        <w:rPr>
          <w:rFonts w:ascii="Arial" w:eastAsia="Calibri" w:hAnsi="Arial" w:cs="Arial"/>
          <w:sz w:val="20"/>
          <w:szCs w:val="20"/>
        </w:rPr>
        <w:t>Yb</w:t>
      </w:r>
      <w:proofErr w:type="spellEnd"/>
      <w:r>
        <w:rPr>
          <w:rFonts w:ascii="Arial" w:eastAsia="Calibri" w:hAnsi="Arial" w:cs="Arial"/>
          <w:sz w:val="20"/>
          <w:szCs w:val="20"/>
        </w:rPr>
        <w:t xml:space="preserve"> atomico),</w:t>
      </w:r>
    </w:p>
    <w:p w14:paraId="0A1DC0F4" w14:textId="77777777" w:rsidR="00AE55CA" w:rsidRDefault="003B1F75">
      <w:pPr>
        <w:contextualSpacing/>
        <w:jc w:val="both"/>
        <w:rPr>
          <w:rFonts w:ascii="Arial" w:hAnsi="Arial" w:cs="Arial"/>
          <w:sz w:val="20"/>
          <w:szCs w:val="20"/>
        </w:rPr>
      </w:pPr>
      <w:r>
        <w:rPr>
          <w:rFonts w:ascii="Arial" w:eastAsia="Calibri" w:hAnsi="Arial" w:cs="Arial"/>
          <w:sz w:val="20"/>
          <w:szCs w:val="20"/>
        </w:rPr>
        <w:t>3) unità di controllo (sorgente laser, forno a controllo di temperatura differenziale, pompe ioniche e getter) e opportuni cavi di collegamento.</w:t>
      </w:r>
    </w:p>
    <w:p w14:paraId="32800F35" w14:textId="77777777" w:rsidR="00AE55CA" w:rsidRDefault="00AE55CA">
      <w:pPr>
        <w:contextualSpacing/>
        <w:jc w:val="both"/>
        <w:rPr>
          <w:rFonts w:ascii="Arial" w:hAnsi="Arial" w:cs="Arial"/>
          <w:sz w:val="20"/>
          <w:szCs w:val="20"/>
        </w:rPr>
      </w:pPr>
    </w:p>
    <w:p w14:paraId="75D4316D" w14:textId="77777777" w:rsidR="00AE55CA" w:rsidRDefault="003B1F75">
      <w:pPr>
        <w:contextualSpacing/>
        <w:jc w:val="both"/>
        <w:rPr>
          <w:rFonts w:ascii="Arial" w:hAnsi="Arial" w:cs="Arial"/>
          <w:sz w:val="20"/>
          <w:szCs w:val="20"/>
        </w:rPr>
      </w:pPr>
      <w:r>
        <w:rPr>
          <w:rFonts w:ascii="Arial" w:eastAsia="Calibri" w:hAnsi="Arial" w:cs="Arial"/>
          <w:sz w:val="20"/>
          <w:szCs w:val="20"/>
        </w:rPr>
        <w:t>- la testa atomica comprende due camere da vuoto separate da un setto di pompaggio differenziale;</w:t>
      </w:r>
    </w:p>
    <w:p w14:paraId="6879263F" w14:textId="77777777" w:rsidR="00AE55CA" w:rsidRDefault="00AE55CA">
      <w:pPr>
        <w:contextualSpacing/>
        <w:jc w:val="both"/>
        <w:rPr>
          <w:rFonts w:ascii="Arial" w:hAnsi="Arial" w:cs="Arial"/>
          <w:sz w:val="20"/>
          <w:szCs w:val="20"/>
        </w:rPr>
      </w:pPr>
    </w:p>
    <w:p w14:paraId="0ABD1E46" w14:textId="77777777" w:rsidR="00AE55CA" w:rsidRDefault="003B1F75">
      <w:pPr>
        <w:contextualSpacing/>
        <w:jc w:val="both"/>
        <w:rPr>
          <w:rFonts w:ascii="Arial" w:hAnsi="Arial" w:cs="Arial"/>
          <w:sz w:val="20"/>
          <w:szCs w:val="20"/>
        </w:rPr>
      </w:pPr>
      <w:r>
        <w:rPr>
          <w:rFonts w:ascii="Arial" w:eastAsia="Calibri" w:hAnsi="Arial" w:cs="Arial"/>
          <w:sz w:val="20"/>
          <w:szCs w:val="20"/>
        </w:rPr>
        <w:t xml:space="preserve">- la prima camera da vuoto (a) è collegata al forno in cui gli atomi di itterbio sono prodotti per sublimazione da itterbio metallico in un forno mantenuto a temperatura sufficientemente elevata. La camera è dotata di vari accessi ottici per permettere il funzionamento della trappola </w:t>
      </w:r>
      <w:proofErr w:type="spellStart"/>
      <w:r>
        <w:rPr>
          <w:rFonts w:ascii="Arial" w:eastAsia="Calibri" w:hAnsi="Arial" w:cs="Arial"/>
          <w:sz w:val="20"/>
          <w:szCs w:val="20"/>
        </w:rPr>
        <w:t>magneto</w:t>
      </w:r>
      <w:proofErr w:type="spellEnd"/>
      <w:r>
        <w:rPr>
          <w:rFonts w:ascii="Arial" w:eastAsia="Calibri" w:hAnsi="Arial" w:cs="Arial"/>
          <w:sz w:val="20"/>
          <w:szCs w:val="20"/>
        </w:rPr>
        <w:t xml:space="preserve"> ottica 2D, e del fascio di </w:t>
      </w:r>
      <w:proofErr w:type="spellStart"/>
      <w:r>
        <w:rPr>
          <w:rFonts w:ascii="Arial" w:eastAsia="Calibri" w:hAnsi="Arial" w:cs="Arial"/>
          <w:sz w:val="20"/>
          <w:szCs w:val="20"/>
        </w:rPr>
        <w:t>push</w:t>
      </w:r>
      <w:proofErr w:type="spellEnd"/>
      <w:r>
        <w:rPr>
          <w:rFonts w:ascii="Arial" w:eastAsia="Calibri" w:hAnsi="Arial" w:cs="Arial"/>
          <w:sz w:val="20"/>
          <w:szCs w:val="20"/>
        </w:rPr>
        <w:t xml:space="preserve">/trasferimento degli atomi raccolti in 2DMOT in direzione della science </w:t>
      </w:r>
      <w:proofErr w:type="spellStart"/>
      <w:r>
        <w:rPr>
          <w:rFonts w:ascii="Arial" w:eastAsia="Calibri" w:hAnsi="Arial" w:cs="Arial"/>
          <w:sz w:val="20"/>
          <w:szCs w:val="20"/>
        </w:rPr>
        <w:t>cell</w:t>
      </w:r>
      <w:proofErr w:type="spellEnd"/>
      <w:r>
        <w:rPr>
          <w:rFonts w:ascii="Arial" w:eastAsia="Calibri" w:hAnsi="Arial" w:cs="Arial"/>
          <w:sz w:val="20"/>
          <w:szCs w:val="20"/>
        </w:rPr>
        <w:t>. (a) è anche dotata di una coppia di accessi ottici per il monitoraggio visivo del funzionamento della 2DMOT;</w:t>
      </w:r>
    </w:p>
    <w:p w14:paraId="143F1FAD" w14:textId="77777777" w:rsidR="00AE55CA" w:rsidRDefault="00AE55CA">
      <w:pPr>
        <w:contextualSpacing/>
        <w:jc w:val="both"/>
        <w:rPr>
          <w:rFonts w:ascii="Arial" w:hAnsi="Arial" w:cs="Arial"/>
          <w:sz w:val="20"/>
          <w:szCs w:val="20"/>
        </w:rPr>
      </w:pPr>
    </w:p>
    <w:p w14:paraId="54AEE4D2" w14:textId="77777777" w:rsidR="00AE55CA" w:rsidRDefault="003B1F75">
      <w:pPr>
        <w:contextualSpacing/>
        <w:jc w:val="both"/>
        <w:rPr>
          <w:rFonts w:ascii="Arial" w:hAnsi="Arial" w:cs="Arial"/>
          <w:sz w:val="20"/>
          <w:szCs w:val="20"/>
        </w:rPr>
      </w:pPr>
      <w:r>
        <w:rPr>
          <w:rFonts w:ascii="Arial" w:eastAsia="Calibri" w:hAnsi="Arial" w:cs="Arial"/>
          <w:sz w:val="20"/>
          <w:szCs w:val="20"/>
        </w:rPr>
        <w:t>- il forno produce atomi di itterbio atomico per sublimazione di itterbio metallico. È mantenuto a una temperatura compresa tra 500 e 550 °C, ed è dotato di un controllo di temperatura differenziale capace di assicurare un gradiente di temperatura tra l'apertura del forno e la parte posteriore tale da evitare l'accumulo di materiale in regioni indesiderate. Il forno è fornito carico di itterbio metallico ed è dotato di un dispositivo anti spillamento dell'itterbio metallico durante il trasporto;</w:t>
      </w:r>
    </w:p>
    <w:p w14:paraId="548D363D" w14:textId="77777777" w:rsidR="00AE55CA" w:rsidRDefault="00AE55CA">
      <w:pPr>
        <w:contextualSpacing/>
        <w:jc w:val="both"/>
        <w:rPr>
          <w:rFonts w:ascii="Arial" w:hAnsi="Arial" w:cs="Arial"/>
          <w:sz w:val="20"/>
          <w:szCs w:val="20"/>
        </w:rPr>
      </w:pPr>
    </w:p>
    <w:p w14:paraId="486695DB" w14:textId="77777777" w:rsidR="00AE55CA" w:rsidRDefault="003B1F75">
      <w:pPr>
        <w:contextualSpacing/>
        <w:jc w:val="both"/>
        <w:rPr>
          <w:rFonts w:ascii="Arial" w:hAnsi="Arial" w:cs="Arial"/>
          <w:sz w:val="20"/>
          <w:szCs w:val="20"/>
        </w:rPr>
      </w:pPr>
      <w:r>
        <w:rPr>
          <w:rFonts w:ascii="Arial" w:eastAsia="Calibri" w:hAnsi="Arial" w:cs="Arial"/>
          <w:sz w:val="20"/>
          <w:szCs w:val="20"/>
        </w:rPr>
        <w:t>- la prima camera da vuoto è dotata di:</w:t>
      </w:r>
    </w:p>
    <w:p w14:paraId="228FC847" w14:textId="77777777" w:rsidR="00AE55CA" w:rsidRDefault="003B1F75">
      <w:pPr>
        <w:contextualSpacing/>
        <w:jc w:val="both"/>
        <w:rPr>
          <w:rFonts w:ascii="Arial" w:hAnsi="Arial" w:cs="Arial"/>
          <w:sz w:val="20"/>
          <w:szCs w:val="20"/>
        </w:rPr>
      </w:pPr>
      <w:r>
        <w:rPr>
          <w:rFonts w:ascii="Arial" w:eastAsia="Calibri" w:hAnsi="Arial" w:cs="Arial"/>
          <w:sz w:val="20"/>
          <w:szCs w:val="20"/>
        </w:rPr>
        <w:t>* una unità di pompaggio,</w:t>
      </w:r>
    </w:p>
    <w:p w14:paraId="01031DD8" w14:textId="35DB25F4" w:rsidR="00AE55CA" w:rsidRDefault="003B1F75">
      <w:pPr>
        <w:contextualSpacing/>
        <w:jc w:val="both"/>
        <w:rPr>
          <w:rFonts w:ascii="Arial" w:hAnsi="Arial" w:cs="Arial"/>
          <w:sz w:val="20"/>
          <w:szCs w:val="20"/>
        </w:rPr>
      </w:pPr>
      <w:r>
        <w:rPr>
          <w:rFonts w:ascii="Arial" w:eastAsia="Calibri" w:hAnsi="Arial" w:cs="Arial"/>
          <w:sz w:val="20"/>
          <w:szCs w:val="20"/>
        </w:rPr>
        <w:t>* un dispositivo di generazione del quadrupolo magnetico necessario per la 2DMOT basato su magneti permanenti,</w:t>
      </w:r>
    </w:p>
    <w:p w14:paraId="6F9C96F9" w14:textId="77777777" w:rsidR="00AE55CA" w:rsidRDefault="003B1F75">
      <w:pPr>
        <w:contextualSpacing/>
        <w:jc w:val="both"/>
        <w:rPr>
          <w:rFonts w:ascii="Arial" w:hAnsi="Arial" w:cs="Arial"/>
          <w:sz w:val="20"/>
          <w:szCs w:val="20"/>
        </w:rPr>
      </w:pPr>
      <w:r>
        <w:rPr>
          <w:rFonts w:ascii="Arial" w:eastAsia="Calibri" w:hAnsi="Arial" w:cs="Arial"/>
          <w:sz w:val="20"/>
          <w:szCs w:val="20"/>
        </w:rPr>
        <w:t>* setto di pompaggio differenziale adatto per mantenere un rapporto di pressione 1:1000 tra le zone ad ultra-alto vuoto e alto vuoto;</w:t>
      </w:r>
    </w:p>
    <w:p w14:paraId="6558AE70" w14:textId="77777777" w:rsidR="00AE55CA" w:rsidRDefault="00AE55CA">
      <w:pPr>
        <w:contextualSpacing/>
        <w:jc w:val="both"/>
        <w:rPr>
          <w:rFonts w:ascii="Arial" w:hAnsi="Arial" w:cs="Arial"/>
          <w:sz w:val="20"/>
          <w:szCs w:val="20"/>
        </w:rPr>
      </w:pPr>
    </w:p>
    <w:p w14:paraId="1628FE4B" w14:textId="77777777" w:rsidR="00AE55CA" w:rsidRDefault="003B1F75">
      <w:pPr>
        <w:contextualSpacing/>
        <w:jc w:val="both"/>
        <w:rPr>
          <w:rFonts w:ascii="Arial" w:hAnsi="Arial" w:cs="Arial"/>
          <w:sz w:val="20"/>
          <w:szCs w:val="20"/>
        </w:rPr>
      </w:pPr>
      <w:r>
        <w:rPr>
          <w:rFonts w:ascii="Arial" w:eastAsia="Calibri" w:hAnsi="Arial" w:cs="Arial"/>
          <w:sz w:val="20"/>
          <w:szCs w:val="20"/>
        </w:rPr>
        <w:t xml:space="preserve">- valvole da vuoto </w:t>
      </w:r>
      <w:proofErr w:type="spellStart"/>
      <w:r>
        <w:rPr>
          <w:rFonts w:ascii="Arial" w:eastAsia="Calibri" w:hAnsi="Arial" w:cs="Arial"/>
          <w:sz w:val="20"/>
          <w:szCs w:val="20"/>
        </w:rPr>
        <w:t>all</w:t>
      </w:r>
      <w:proofErr w:type="spellEnd"/>
      <w:r>
        <w:rPr>
          <w:rFonts w:ascii="Arial" w:eastAsia="Calibri" w:hAnsi="Arial" w:cs="Arial"/>
          <w:sz w:val="20"/>
          <w:szCs w:val="20"/>
        </w:rPr>
        <w:t>-metal DN 40 CF: due valvole a gomito per il pompaggio primario, una valvola gate per isolare la zona ad ultra-alto vuoto da quella ad alto vuoto e permette il passaggio degli atomici in volo balistico tra le due zone;</w:t>
      </w:r>
    </w:p>
    <w:p w14:paraId="3DB04389" w14:textId="77777777" w:rsidR="00AE55CA" w:rsidRDefault="00AE55CA">
      <w:pPr>
        <w:contextualSpacing/>
        <w:jc w:val="both"/>
        <w:rPr>
          <w:rFonts w:ascii="Arial" w:hAnsi="Arial" w:cs="Arial"/>
          <w:sz w:val="20"/>
          <w:szCs w:val="20"/>
        </w:rPr>
      </w:pPr>
    </w:p>
    <w:p w14:paraId="2E1BB2C4" w14:textId="77777777" w:rsidR="00AE55CA" w:rsidRDefault="003B1F75">
      <w:pPr>
        <w:contextualSpacing/>
        <w:jc w:val="both"/>
        <w:rPr>
          <w:rFonts w:ascii="Arial" w:hAnsi="Arial" w:cs="Arial"/>
          <w:sz w:val="20"/>
          <w:szCs w:val="20"/>
        </w:rPr>
      </w:pPr>
      <w:r>
        <w:rPr>
          <w:rFonts w:ascii="Arial" w:eastAsia="Calibri" w:hAnsi="Arial" w:cs="Arial"/>
          <w:sz w:val="20"/>
          <w:szCs w:val="20"/>
        </w:rPr>
        <w:t xml:space="preserve">- la seconda cella ospita l'unità di pompaggio della zona ad ultra-alto vuoto (fornita con opportuna unità di controllo e cavi), e si collega alla science </w:t>
      </w:r>
      <w:proofErr w:type="spellStart"/>
      <w:r>
        <w:rPr>
          <w:rFonts w:ascii="Arial" w:eastAsia="Calibri" w:hAnsi="Arial" w:cs="Arial"/>
          <w:sz w:val="20"/>
          <w:szCs w:val="20"/>
        </w:rPr>
        <w:t>chamber</w:t>
      </w:r>
      <w:proofErr w:type="spellEnd"/>
      <w:r>
        <w:rPr>
          <w:rFonts w:ascii="Arial" w:eastAsia="Calibri" w:hAnsi="Arial" w:cs="Arial"/>
          <w:sz w:val="20"/>
          <w:szCs w:val="20"/>
        </w:rPr>
        <w:t xml:space="preserve"> (non compresa nel sistema descritto) tramite una flangia rotante DN 40 CF, momentaneamente tappata da una flangia cieca;</w:t>
      </w:r>
    </w:p>
    <w:p w14:paraId="77A5D46E" w14:textId="77777777" w:rsidR="00AE55CA" w:rsidRDefault="00AE55CA">
      <w:pPr>
        <w:contextualSpacing/>
        <w:jc w:val="both"/>
        <w:rPr>
          <w:rFonts w:ascii="Arial" w:hAnsi="Arial" w:cs="Arial"/>
          <w:sz w:val="20"/>
          <w:szCs w:val="20"/>
        </w:rPr>
      </w:pPr>
    </w:p>
    <w:p w14:paraId="2FD367E3" w14:textId="77777777" w:rsidR="00AE55CA" w:rsidRDefault="003B1F75">
      <w:pPr>
        <w:contextualSpacing/>
        <w:jc w:val="both"/>
        <w:rPr>
          <w:rFonts w:ascii="Arial" w:hAnsi="Arial" w:cs="Arial"/>
          <w:sz w:val="20"/>
          <w:szCs w:val="20"/>
        </w:rPr>
      </w:pPr>
      <w:r>
        <w:rPr>
          <w:rFonts w:ascii="Arial" w:eastAsia="Calibri" w:hAnsi="Arial" w:cs="Arial"/>
          <w:sz w:val="20"/>
          <w:szCs w:val="20"/>
        </w:rPr>
        <w:t>- piedistallo per mantenere la sorgente atomica all'altezza desiderata;</w:t>
      </w:r>
    </w:p>
    <w:p w14:paraId="68BE0B25" w14:textId="77777777" w:rsidR="00AE55CA" w:rsidRDefault="00AE55CA">
      <w:pPr>
        <w:tabs>
          <w:tab w:val="left" w:pos="567"/>
          <w:tab w:val="left" w:pos="709"/>
        </w:tabs>
        <w:contextualSpacing/>
        <w:rPr>
          <w:rFonts w:ascii="Arial" w:eastAsiaTheme="minorEastAsia" w:hAnsi="Arial" w:cs="Arial"/>
          <w:caps/>
          <w:sz w:val="20"/>
          <w:szCs w:val="20"/>
          <w:lang w:eastAsia="it-IT"/>
        </w:rPr>
      </w:pPr>
    </w:p>
    <w:p w14:paraId="5DBE749D" w14:textId="77777777" w:rsidR="00AE55CA" w:rsidRDefault="003B1F75">
      <w:pPr>
        <w:tabs>
          <w:tab w:val="left" w:pos="567"/>
          <w:tab w:val="left" w:pos="709"/>
        </w:tabs>
        <w:contextualSpacing/>
        <w:rPr>
          <w:rFonts w:ascii="Arial" w:hAnsi="Arial" w:cs="Arial"/>
          <w:b/>
          <w:sz w:val="20"/>
          <w:szCs w:val="20"/>
        </w:rPr>
      </w:pPr>
      <w:r>
        <w:rPr>
          <w:rFonts w:ascii="Arial" w:hAnsi="Arial" w:cs="Arial"/>
          <w:b/>
          <w:sz w:val="20"/>
          <w:szCs w:val="20"/>
        </w:rPr>
        <w:t>Ulteriori richieste obbligatorie</w:t>
      </w:r>
    </w:p>
    <w:p w14:paraId="6E8C93A2" w14:textId="77777777" w:rsidR="00AE55CA" w:rsidRDefault="00AE55CA">
      <w:pPr>
        <w:tabs>
          <w:tab w:val="left" w:pos="567"/>
          <w:tab w:val="left" w:pos="709"/>
        </w:tabs>
        <w:contextualSpacing/>
        <w:rPr>
          <w:rFonts w:ascii="Arial" w:hAnsi="Arial" w:cs="Arial"/>
          <w:b/>
          <w:sz w:val="20"/>
          <w:szCs w:val="20"/>
        </w:rPr>
      </w:pPr>
    </w:p>
    <w:p w14:paraId="22089D92" w14:textId="77777777" w:rsidR="00AE55CA" w:rsidRDefault="003B1F75">
      <w:pPr>
        <w:pStyle w:val="Paragrafoelenco"/>
        <w:numPr>
          <w:ilvl w:val="0"/>
          <w:numId w:val="9"/>
        </w:numPr>
        <w:tabs>
          <w:tab w:val="left" w:pos="284"/>
          <w:tab w:val="left" w:pos="567"/>
          <w:tab w:val="left" w:pos="709"/>
        </w:tabs>
        <w:ind w:left="0" w:firstLine="0"/>
        <w:jc w:val="both"/>
        <w:rPr>
          <w:rFonts w:ascii="Arial" w:hAnsi="Arial" w:cs="Arial"/>
          <w:sz w:val="20"/>
          <w:szCs w:val="20"/>
        </w:rPr>
      </w:pPr>
      <w:r>
        <w:rPr>
          <w:rFonts w:ascii="Arial" w:hAnsi="Arial" w:cs="Arial"/>
          <w:b/>
          <w:sz w:val="20"/>
          <w:szCs w:val="20"/>
        </w:rPr>
        <w:t>Consegna e supporto alla verifica di conformità:</w:t>
      </w:r>
      <w:r>
        <w:rPr>
          <w:rFonts w:ascii="Arial" w:hAnsi="Arial" w:cs="Arial"/>
          <w:sz w:val="20"/>
          <w:szCs w:val="20"/>
        </w:rPr>
        <w:t xml:space="preserve"> la strumentazione dovrà essere consegnata come meglio specificato nel paragrafo “</w:t>
      </w:r>
      <w:r>
        <w:rPr>
          <w:rFonts w:ascii="Arial" w:eastAsiaTheme="minorEastAsia" w:hAnsi="Arial" w:cs="Arial"/>
          <w:bCs/>
          <w:kern w:val="2"/>
          <w:sz w:val="20"/>
          <w:szCs w:val="20"/>
          <w:lang w:eastAsia="it-IT"/>
        </w:rPr>
        <w:t>Luogo e termini di esecuzione dell’appalto</w:t>
      </w:r>
      <w:r>
        <w:rPr>
          <w:rFonts w:ascii="Arial" w:hAnsi="Arial" w:cs="Arial"/>
          <w:sz w:val="20"/>
          <w:szCs w:val="20"/>
        </w:rPr>
        <w:t xml:space="preserve">”. L’aggiudicatario deve garantire la consegna della strumentazione esente da difetti e perfettamente funzionante provvedendo alle spese di trasporto presso il </w:t>
      </w:r>
      <w:r>
        <w:rPr>
          <w:rFonts w:ascii="Arial" w:hAnsi="Arial" w:cs="Arial"/>
          <w:sz w:val="20"/>
          <w:szCs w:val="20"/>
        </w:rPr>
        <w:lastRenderedPageBreak/>
        <w:t xml:space="preserve">luogo di consegna. L’aggiudicatario dovrà fornire supporto ed assistenza, eventualmente anche da remoto, per la fase di collaudo dello strumento e per la fase di installazione e messa in servizio dello strumento. </w:t>
      </w:r>
    </w:p>
    <w:p w14:paraId="3F91BD49" w14:textId="77777777" w:rsidR="00AE55CA" w:rsidRDefault="00AE55CA">
      <w:pPr>
        <w:pStyle w:val="Paragrafoelenco"/>
        <w:tabs>
          <w:tab w:val="left" w:pos="284"/>
          <w:tab w:val="left" w:pos="567"/>
          <w:tab w:val="left" w:pos="709"/>
        </w:tabs>
        <w:ind w:left="0"/>
        <w:jc w:val="both"/>
        <w:rPr>
          <w:rFonts w:ascii="Arial" w:hAnsi="Arial" w:cs="Arial"/>
          <w:sz w:val="20"/>
          <w:szCs w:val="20"/>
        </w:rPr>
      </w:pPr>
    </w:p>
    <w:p w14:paraId="55176BCA" w14:textId="77777777" w:rsidR="00AE55CA" w:rsidRPr="00B62771" w:rsidRDefault="003B1F75">
      <w:pPr>
        <w:pStyle w:val="Paragrafoelenco"/>
        <w:numPr>
          <w:ilvl w:val="0"/>
          <w:numId w:val="9"/>
        </w:numPr>
        <w:tabs>
          <w:tab w:val="left" w:pos="284"/>
          <w:tab w:val="left" w:pos="567"/>
          <w:tab w:val="left" w:pos="709"/>
        </w:tabs>
        <w:ind w:left="0" w:firstLine="0"/>
        <w:jc w:val="both"/>
        <w:rPr>
          <w:rFonts w:ascii="Arial" w:hAnsi="Arial" w:cs="Arial"/>
          <w:b/>
          <w:sz w:val="20"/>
          <w:szCs w:val="20"/>
        </w:rPr>
      </w:pPr>
      <w:r w:rsidRPr="00B62771">
        <w:rPr>
          <w:rFonts w:ascii="Arial" w:hAnsi="Arial" w:cs="Arial"/>
          <w:b/>
          <w:bCs/>
          <w:sz w:val="20"/>
          <w:szCs w:val="20"/>
        </w:rPr>
        <w:t>Assistenza tecnica e manutenzione</w:t>
      </w:r>
      <w:r w:rsidRPr="00B62771">
        <w:rPr>
          <w:rFonts w:ascii="Arial" w:hAnsi="Arial" w:cs="Arial"/>
          <w:sz w:val="20"/>
          <w:szCs w:val="20"/>
        </w:rPr>
        <w:t>:</w:t>
      </w:r>
      <w:r w:rsidRPr="00B62771">
        <w:rPr>
          <w:rFonts w:ascii="Arial" w:hAnsi="Arial" w:cs="Arial"/>
          <w:b/>
          <w:sz w:val="20"/>
          <w:szCs w:val="20"/>
        </w:rPr>
        <w:t xml:space="preserve"> </w:t>
      </w:r>
      <w:r w:rsidRPr="00B62771">
        <w:rPr>
          <w:rFonts w:ascii="Arial" w:hAnsi="Arial" w:cs="Arial"/>
          <w:sz w:val="20"/>
          <w:szCs w:val="20"/>
        </w:rPr>
        <w:t>In</w:t>
      </w:r>
      <w:r>
        <w:rPr>
          <w:rFonts w:ascii="Arial" w:hAnsi="Arial" w:cs="Arial"/>
          <w:sz w:val="20"/>
          <w:szCs w:val="20"/>
        </w:rPr>
        <w:t xml:space="preserve"> caso di malfunzionamenti dello strumento l’aggiudicatario dovrà </w:t>
      </w:r>
      <w:r w:rsidRPr="00B62771">
        <w:rPr>
          <w:rFonts w:ascii="Arial" w:hAnsi="Arial" w:cs="Arial"/>
          <w:sz w:val="20"/>
          <w:szCs w:val="20"/>
        </w:rPr>
        <w:t>essere in grado di intervenire tempestivamente dalla segnalazione del guasto comunicato a mezzo PEC entro un massimo di 7 (sette) giorni lavorativi, fatta salva l’offerta migliorativa presentata in sede di gara. Tale intervento è finalizzato alla immediata assistenza ed al ripristino delle funzionalità della strumentazione o, nel caso in cui ciò non sia possibile, alla valutazione del guasto e degli interventi necessari.</w:t>
      </w:r>
    </w:p>
    <w:p w14:paraId="7E8F0F27" w14:textId="334BD3EA" w:rsidR="00AE55CA" w:rsidRPr="00B62771" w:rsidRDefault="003B1F75">
      <w:pPr>
        <w:tabs>
          <w:tab w:val="left" w:pos="284"/>
          <w:tab w:val="left" w:pos="567"/>
          <w:tab w:val="left" w:pos="709"/>
        </w:tabs>
        <w:contextualSpacing/>
        <w:jc w:val="both"/>
        <w:rPr>
          <w:rFonts w:ascii="Arial" w:hAnsi="Arial" w:cs="Arial"/>
          <w:b/>
          <w:sz w:val="20"/>
          <w:szCs w:val="20"/>
        </w:rPr>
      </w:pPr>
      <w:r w:rsidRPr="00B62771">
        <w:rPr>
          <w:rFonts w:ascii="Arial" w:hAnsi="Arial" w:cs="Arial"/>
          <w:sz w:val="20"/>
          <w:szCs w:val="20"/>
        </w:rPr>
        <w:t>Nel caso in cui il ripristino delle funzionalità della strumentazione richieda la fornitura di parti o elementi nuovi, ovvero “</w:t>
      </w:r>
      <w:r w:rsidRPr="00B62771">
        <w:rPr>
          <w:rFonts w:ascii="Arial" w:hAnsi="Arial" w:cs="Arial"/>
          <w:i/>
          <w:sz w:val="20"/>
          <w:szCs w:val="20"/>
        </w:rPr>
        <w:t>provvisori</w:t>
      </w:r>
      <w:r w:rsidRPr="00B62771">
        <w:rPr>
          <w:rFonts w:ascii="Arial" w:hAnsi="Arial" w:cs="Arial"/>
          <w:sz w:val="20"/>
          <w:szCs w:val="20"/>
        </w:rPr>
        <w:t>” o “</w:t>
      </w:r>
      <w:r w:rsidRPr="00B62771">
        <w:rPr>
          <w:rFonts w:ascii="Arial" w:hAnsi="Arial" w:cs="Arial"/>
          <w:i/>
          <w:sz w:val="20"/>
          <w:szCs w:val="20"/>
        </w:rPr>
        <w:t>di rotazione</w:t>
      </w:r>
      <w:r w:rsidRPr="00B62771">
        <w:rPr>
          <w:rFonts w:ascii="Arial" w:hAnsi="Arial" w:cs="Arial"/>
          <w:sz w:val="20"/>
          <w:szCs w:val="20"/>
        </w:rPr>
        <w:t>”, gli stessi devono essere consegnati ed installati entro un massimo di 30 (trenta) giorni lavorativi dall’individuazione del guasto, fatta salva l’offerta migliorativa presentata in sede di gara.</w:t>
      </w:r>
    </w:p>
    <w:p w14:paraId="51454527" w14:textId="77777777" w:rsidR="00AE55CA" w:rsidRDefault="003B1F75">
      <w:pPr>
        <w:tabs>
          <w:tab w:val="left" w:pos="284"/>
          <w:tab w:val="left" w:pos="567"/>
          <w:tab w:val="left" w:pos="709"/>
        </w:tabs>
        <w:contextualSpacing/>
        <w:jc w:val="both"/>
        <w:rPr>
          <w:rFonts w:ascii="Arial" w:hAnsi="Arial" w:cs="Arial"/>
          <w:sz w:val="20"/>
          <w:szCs w:val="20"/>
        </w:rPr>
      </w:pPr>
      <w:r w:rsidRPr="00B62771">
        <w:rPr>
          <w:rFonts w:ascii="Arial" w:hAnsi="Arial" w:cs="Arial"/>
          <w:sz w:val="20"/>
          <w:szCs w:val="20"/>
        </w:rPr>
        <w:t>L’aggiudicatario dovrà garantire la disponibilità delle parti di ricambio almeno per 24 (ventiquattro) mesi successivi allo scadere della garanzia di legge, fatta salva l’offerta migliorativa presentata in sede di gara.</w:t>
      </w:r>
    </w:p>
    <w:p w14:paraId="697AB7EA" w14:textId="77777777" w:rsidR="00AE55CA" w:rsidRDefault="00AE55CA">
      <w:pPr>
        <w:tabs>
          <w:tab w:val="left" w:pos="284"/>
          <w:tab w:val="left" w:pos="567"/>
          <w:tab w:val="left" w:pos="709"/>
        </w:tabs>
        <w:contextualSpacing/>
        <w:jc w:val="both"/>
        <w:rPr>
          <w:rFonts w:ascii="Arial" w:hAnsi="Arial" w:cs="Arial"/>
          <w:sz w:val="20"/>
          <w:szCs w:val="20"/>
        </w:rPr>
      </w:pPr>
    </w:p>
    <w:p w14:paraId="23EE888A" w14:textId="77777777" w:rsidR="00AE55CA" w:rsidRDefault="003B1F75">
      <w:pPr>
        <w:pStyle w:val="Paragrafoelenco"/>
        <w:numPr>
          <w:ilvl w:val="0"/>
          <w:numId w:val="9"/>
        </w:numPr>
        <w:tabs>
          <w:tab w:val="left" w:pos="284"/>
          <w:tab w:val="left" w:pos="567"/>
          <w:tab w:val="left" w:pos="709"/>
        </w:tabs>
        <w:ind w:left="0" w:firstLine="0"/>
        <w:jc w:val="both"/>
        <w:rPr>
          <w:rFonts w:ascii="Arial" w:hAnsi="Arial" w:cs="Arial"/>
          <w:sz w:val="20"/>
          <w:szCs w:val="20"/>
        </w:rPr>
      </w:pPr>
      <w:r>
        <w:rPr>
          <w:rFonts w:ascii="Arial" w:hAnsi="Arial" w:cs="Arial"/>
          <w:b/>
          <w:sz w:val="20"/>
          <w:szCs w:val="20"/>
        </w:rPr>
        <w:t>Garanzia:</w:t>
      </w:r>
      <w:r>
        <w:rPr>
          <w:rFonts w:ascii="Arial" w:hAnsi="Arial" w:cs="Arial"/>
          <w:sz w:val="20"/>
          <w:szCs w:val="20"/>
        </w:rPr>
        <w:t xml:space="preserve"> </w:t>
      </w:r>
      <w:r>
        <w:rPr>
          <w:rFonts w:ascii="Arial" w:eastAsiaTheme="minorEastAsia" w:hAnsi="Arial" w:cs="Arial"/>
          <w:sz w:val="20"/>
          <w:szCs w:val="20"/>
          <w:lang w:eastAsia="it-IT"/>
        </w:rPr>
        <w:t xml:space="preserve">La fornitura dovrà essere garantita per un minimo di 12 (dodici) mesi “on-site”, </w:t>
      </w:r>
      <w:r>
        <w:rPr>
          <w:rFonts w:ascii="Arial" w:hAnsi="Arial" w:cs="Arial"/>
          <w:sz w:val="20"/>
          <w:szCs w:val="20"/>
        </w:rPr>
        <w:t xml:space="preserve">fatta salva l’offerta migliorativa presentata in sede di gara, </w:t>
      </w:r>
      <w:r>
        <w:rPr>
          <w:rFonts w:ascii="Arial" w:eastAsiaTheme="minorEastAsia" w:hAnsi="Arial" w:cs="Arial"/>
          <w:sz w:val="20"/>
          <w:szCs w:val="20"/>
          <w:lang w:eastAsia="it-IT"/>
        </w:rPr>
        <w:t>dalla data dell’emissione del certificato di regolare esecuzione/verifica di conformità con esito positivo.</w:t>
      </w:r>
      <w:r>
        <w:rPr>
          <w:rFonts w:ascii="Arial" w:hAnsi="Arial" w:cs="Arial"/>
          <w:sz w:val="20"/>
          <w:szCs w:val="20"/>
        </w:rPr>
        <w:t xml:space="preserve"> Tale garanzia deve comprendere le riparazioni o sostituzioni di parti (con esclusione delle parti c.d. “</w:t>
      </w:r>
      <w:r>
        <w:rPr>
          <w:rFonts w:ascii="Arial" w:hAnsi="Arial" w:cs="Arial"/>
          <w:i/>
          <w:sz w:val="20"/>
          <w:szCs w:val="20"/>
        </w:rPr>
        <w:t>consumabili</w:t>
      </w:r>
      <w:r>
        <w:rPr>
          <w:rFonts w:ascii="Arial" w:hAnsi="Arial" w:cs="Arial"/>
          <w:sz w:val="20"/>
          <w:szCs w:val="20"/>
        </w:rPr>
        <w:t xml:space="preserve">” chiaramente individuabili nella documentazione a corredo) necessarie al funzionamento ottimale della strumentazione. Qualora l’aggiudicatario ritenga necessario un intervento in situ durante il periodo di validità della garanzia, devono ritenersi, inoltre, comprese nella garanzia eventuali spese di trasferta ed i costi della manodopera dei tecnici presso la sede di consegna ed installazione. Per l’intero periodo di vigenza della garanzia, l’aggiudicatario si impegna a fornire gratuitamente gli eventuali </w:t>
      </w:r>
      <w:r>
        <w:rPr>
          <w:rFonts w:ascii="Arial" w:hAnsi="Arial" w:cs="Arial"/>
          <w:i/>
          <w:sz w:val="20"/>
          <w:szCs w:val="20"/>
        </w:rPr>
        <w:t>upgrade</w:t>
      </w:r>
      <w:r>
        <w:rPr>
          <w:rFonts w:ascii="Arial" w:hAnsi="Arial" w:cs="Arial"/>
          <w:sz w:val="20"/>
          <w:szCs w:val="20"/>
        </w:rPr>
        <w:t xml:space="preserve"> alle licenze </w:t>
      </w:r>
      <w:r>
        <w:rPr>
          <w:rFonts w:ascii="Arial" w:hAnsi="Arial" w:cs="Arial"/>
          <w:i/>
          <w:sz w:val="20"/>
          <w:szCs w:val="20"/>
        </w:rPr>
        <w:t>software</w:t>
      </w:r>
      <w:r>
        <w:rPr>
          <w:rFonts w:ascii="Arial" w:hAnsi="Arial" w:cs="Arial"/>
          <w:sz w:val="20"/>
          <w:szCs w:val="20"/>
        </w:rPr>
        <w:t xml:space="preserve">. </w:t>
      </w:r>
    </w:p>
    <w:p w14:paraId="10F8EBA1" w14:textId="77777777" w:rsidR="00AE55CA" w:rsidRDefault="00AE55CA">
      <w:pPr>
        <w:pStyle w:val="Paragrafoelenco"/>
        <w:tabs>
          <w:tab w:val="left" w:pos="284"/>
          <w:tab w:val="left" w:pos="567"/>
          <w:tab w:val="left" w:pos="709"/>
        </w:tabs>
        <w:ind w:left="0"/>
        <w:jc w:val="both"/>
        <w:rPr>
          <w:rFonts w:ascii="Arial" w:hAnsi="Arial" w:cs="Arial"/>
          <w:sz w:val="20"/>
          <w:szCs w:val="20"/>
        </w:rPr>
      </w:pPr>
    </w:p>
    <w:p w14:paraId="38743CA1" w14:textId="247436C3" w:rsidR="00AE55CA" w:rsidRDefault="003B1F75">
      <w:pPr>
        <w:pStyle w:val="Paragrafoelenco"/>
        <w:numPr>
          <w:ilvl w:val="0"/>
          <w:numId w:val="9"/>
        </w:numPr>
        <w:tabs>
          <w:tab w:val="left" w:pos="284"/>
          <w:tab w:val="left" w:pos="567"/>
          <w:tab w:val="left" w:pos="709"/>
        </w:tabs>
        <w:ind w:left="0" w:firstLine="0"/>
        <w:jc w:val="both"/>
        <w:rPr>
          <w:rFonts w:ascii="Arial" w:hAnsi="Arial" w:cs="Arial"/>
          <w:sz w:val="20"/>
          <w:szCs w:val="20"/>
        </w:rPr>
      </w:pPr>
      <w:r>
        <w:rPr>
          <w:rFonts w:ascii="Arial" w:hAnsi="Arial" w:cs="Arial"/>
          <w:b/>
          <w:sz w:val="20"/>
          <w:szCs w:val="20"/>
        </w:rPr>
        <w:t>Spese:</w:t>
      </w:r>
      <w:r>
        <w:rPr>
          <w:rFonts w:ascii="Arial" w:hAnsi="Arial" w:cs="Arial"/>
          <w:sz w:val="20"/>
          <w:szCs w:val="20"/>
        </w:rPr>
        <w:t xml:space="preserve"> l’offerta presentata in sede di gara dall’aggiudicatario deve comprendere tutte le spese relative al trasporto. Inoltre</w:t>
      </w:r>
      <w:r w:rsidR="00B62771">
        <w:rPr>
          <w:rFonts w:ascii="Arial" w:hAnsi="Arial" w:cs="Arial"/>
          <w:sz w:val="20"/>
          <w:szCs w:val="20"/>
        </w:rPr>
        <w:t>,</w:t>
      </w:r>
      <w:r>
        <w:rPr>
          <w:rFonts w:ascii="Arial" w:hAnsi="Arial" w:cs="Arial"/>
          <w:sz w:val="20"/>
          <w:szCs w:val="20"/>
        </w:rPr>
        <w:t xml:space="preserve"> deve comprendere, ove necessarie, le spese relative all’installazione, alla verifica di conformità ed alla partecipazione al programma di addestramento del personale della stazione appaltante. L’aggiudicatario dovrà altresì provvedere se richiesto, a proprie spese, al ritiro e smaltimento degli imballaggi e dei materiali di risulta da effettuare nel pieno rispetto della normativa vigente.</w:t>
      </w:r>
    </w:p>
    <w:p w14:paraId="5E46CEB8" w14:textId="77777777" w:rsidR="00AE55CA" w:rsidRDefault="00AE55CA">
      <w:pPr>
        <w:tabs>
          <w:tab w:val="left" w:pos="567"/>
          <w:tab w:val="left" w:pos="709"/>
        </w:tabs>
        <w:contextualSpacing/>
        <w:jc w:val="both"/>
        <w:rPr>
          <w:rFonts w:ascii="Arial" w:hAnsi="Arial" w:cs="Arial"/>
          <w:sz w:val="20"/>
          <w:szCs w:val="20"/>
        </w:rPr>
      </w:pPr>
    </w:p>
    <w:p w14:paraId="5D7547B4" w14:textId="77777777" w:rsidR="00AE55CA" w:rsidRDefault="003B1F75">
      <w:pPr>
        <w:pStyle w:val="Titolo2"/>
        <w:numPr>
          <w:ilvl w:val="1"/>
          <w:numId w:val="5"/>
        </w:numPr>
        <w:tabs>
          <w:tab w:val="left" w:pos="567"/>
        </w:tabs>
        <w:ind w:left="0" w:firstLine="0"/>
        <w:rPr>
          <w:rFonts w:ascii="Arial" w:eastAsiaTheme="minorEastAsia" w:hAnsi="Arial" w:cs="Arial"/>
          <w:lang w:eastAsia="it-IT"/>
        </w:rPr>
      </w:pPr>
      <w:bookmarkStart w:id="7" w:name="_Toc127539089"/>
      <w:r>
        <w:rPr>
          <w:rFonts w:ascii="Arial" w:eastAsiaTheme="minorEastAsia" w:hAnsi="Arial" w:cs="Arial"/>
          <w:lang w:eastAsia="it-IT"/>
        </w:rPr>
        <w:t>Importo a base di negoziazione</w:t>
      </w:r>
      <w:bookmarkEnd w:id="7"/>
      <w:r>
        <w:rPr>
          <w:rFonts w:ascii="Arial" w:eastAsiaTheme="minorEastAsia" w:hAnsi="Arial" w:cs="Arial"/>
          <w:lang w:eastAsia="it-IT"/>
        </w:rPr>
        <w:t xml:space="preserve"> </w:t>
      </w:r>
    </w:p>
    <w:p w14:paraId="774C9C94" w14:textId="77777777" w:rsidR="00AE55CA" w:rsidRDefault="00AE55CA">
      <w:pPr>
        <w:keepNext/>
        <w:tabs>
          <w:tab w:val="left" w:pos="567"/>
          <w:tab w:val="left" w:pos="709"/>
        </w:tabs>
        <w:contextualSpacing/>
        <w:jc w:val="both"/>
        <w:outlineLvl w:val="1"/>
        <w:rPr>
          <w:rFonts w:ascii="Arial" w:eastAsiaTheme="minorEastAsia" w:hAnsi="Arial" w:cs="Arial"/>
          <w:b/>
          <w:bCs/>
          <w:sz w:val="20"/>
          <w:szCs w:val="20"/>
          <w:lang w:eastAsia="it-IT"/>
        </w:rPr>
      </w:pPr>
    </w:p>
    <w:p w14:paraId="6C5C864A" w14:textId="0C3A0F4E" w:rsidR="00AE55CA" w:rsidRDefault="003B1F75">
      <w:pPr>
        <w:tabs>
          <w:tab w:val="left" w:pos="567"/>
          <w:tab w:val="left" w:pos="709"/>
        </w:tabs>
        <w:contextualSpacing/>
        <w:jc w:val="both"/>
        <w:rPr>
          <w:rFonts w:ascii="Arial" w:eastAsia="Times New Roman" w:hAnsi="Arial" w:cs="Arial"/>
          <w:sz w:val="20"/>
          <w:szCs w:val="20"/>
        </w:rPr>
      </w:pPr>
      <w:r>
        <w:rPr>
          <w:rFonts w:ascii="Arial" w:eastAsiaTheme="minorEastAsia" w:hAnsi="Arial" w:cs="Arial"/>
          <w:color w:val="000000"/>
          <w:sz w:val="20"/>
          <w:szCs w:val="20"/>
          <w:lang w:eastAsia="it-IT"/>
        </w:rPr>
        <w:t xml:space="preserve">L’importo a base di gara è pari </w:t>
      </w:r>
      <w:r w:rsidRPr="00B62771">
        <w:rPr>
          <w:rFonts w:ascii="Arial" w:eastAsiaTheme="minorEastAsia" w:hAnsi="Arial" w:cs="Arial"/>
          <w:color w:val="000000"/>
          <w:sz w:val="20"/>
          <w:szCs w:val="20"/>
          <w:lang w:eastAsia="it-IT"/>
        </w:rPr>
        <w:t>ad Euro 18</w:t>
      </w:r>
      <w:r w:rsidR="005321D5" w:rsidRPr="00B62771">
        <w:rPr>
          <w:rFonts w:ascii="Arial" w:eastAsiaTheme="minorEastAsia" w:hAnsi="Arial" w:cs="Arial"/>
          <w:color w:val="000000"/>
          <w:sz w:val="20"/>
          <w:szCs w:val="20"/>
          <w:lang w:eastAsia="it-IT"/>
        </w:rPr>
        <w:t>0</w:t>
      </w:r>
      <w:r w:rsidRPr="00B62771">
        <w:rPr>
          <w:rFonts w:ascii="Arial" w:eastAsiaTheme="minorEastAsia" w:hAnsi="Arial" w:cs="Arial"/>
          <w:color w:val="000000"/>
          <w:sz w:val="20"/>
          <w:szCs w:val="20"/>
          <w:lang w:eastAsia="it-IT"/>
        </w:rPr>
        <w:t>.000,00 (</w:t>
      </w:r>
      <w:proofErr w:type="spellStart"/>
      <w:r w:rsidRPr="00B62771">
        <w:rPr>
          <w:rFonts w:ascii="Arial" w:eastAsiaTheme="minorEastAsia" w:hAnsi="Arial" w:cs="Arial"/>
          <w:color w:val="000000"/>
          <w:sz w:val="20"/>
          <w:szCs w:val="20"/>
          <w:lang w:eastAsia="it-IT"/>
        </w:rPr>
        <w:t>centoottantamila</w:t>
      </w:r>
      <w:proofErr w:type="spellEnd"/>
      <w:r w:rsidRPr="00B62771">
        <w:rPr>
          <w:rFonts w:ascii="Arial" w:eastAsiaTheme="minorEastAsia" w:hAnsi="Arial" w:cs="Arial"/>
          <w:color w:val="000000"/>
          <w:sz w:val="20"/>
          <w:szCs w:val="20"/>
          <w:lang w:eastAsia="it-IT"/>
        </w:rPr>
        <w:t>/00)</w:t>
      </w:r>
      <w:r>
        <w:rPr>
          <w:rFonts w:ascii="Arial" w:eastAsiaTheme="minorEastAsia" w:hAnsi="Arial" w:cs="Arial"/>
          <w:color w:val="000000"/>
          <w:sz w:val="20"/>
          <w:szCs w:val="20"/>
          <w:lang w:eastAsia="it-IT"/>
        </w:rPr>
        <w:t xml:space="preserve"> al netto di IVA e/o di altre imposte e contributi di legge.</w:t>
      </w:r>
      <w:r w:rsidR="00B62771">
        <w:rPr>
          <w:rFonts w:ascii="Arial" w:eastAsiaTheme="minorEastAsia" w:hAnsi="Arial" w:cs="Arial"/>
          <w:color w:val="000000"/>
          <w:sz w:val="20"/>
          <w:szCs w:val="20"/>
          <w:lang w:eastAsia="it-IT"/>
        </w:rPr>
        <w:t xml:space="preserve"> </w:t>
      </w:r>
      <w:r>
        <w:rPr>
          <w:rFonts w:ascii="Arial" w:eastAsia="Times New Roman" w:hAnsi="Arial" w:cs="Arial"/>
          <w:sz w:val="20"/>
          <w:szCs w:val="20"/>
        </w:rPr>
        <w:t>Non sono ammesse offerte al rialzo.</w:t>
      </w:r>
    </w:p>
    <w:p w14:paraId="3498B7C0" w14:textId="77777777" w:rsidR="00AE55CA" w:rsidRDefault="00AE55CA">
      <w:pPr>
        <w:tabs>
          <w:tab w:val="left" w:pos="567"/>
          <w:tab w:val="left" w:pos="709"/>
        </w:tabs>
        <w:contextualSpacing/>
        <w:jc w:val="both"/>
        <w:rPr>
          <w:rFonts w:ascii="Arial" w:eastAsia="Times New Roman" w:hAnsi="Arial" w:cs="Arial"/>
          <w:sz w:val="20"/>
          <w:szCs w:val="20"/>
        </w:rPr>
      </w:pPr>
    </w:p>
    <w:p w14:paraId="61CE05C2" w14:textId="77777777" w:rsidR="00AE55CA" w:rsidRDefault="003B1F75">
      <w:pPr>
        <w:pStyle w:val="Titolo2"/>
        <w:numPr>
          <w:ilvl w:val="1"/>
          <w:numId w:val="5"/>
        </w:numPr>
        <w:tabs>
          <w:tab w:val="left" w:pos="567"/>
        </w:tabs>
        <w:ind w:left="0" w:firstLine="0"/>
        <w:rPr>
          <w:rFonts w:ascii="Arial" w:eastAsiaTheme="minorEastAsia" w:hAnsi="Arial" w:cs="Arial"/>
          <w:lang w:eastAsia="it-IT"/>
        </w:rPr>
      </w:pPr>
      <w:bookmarkStart w:id="8" w:name="_Toc127539090"/>
      <w:r>
        <w:rPr>
          <w:rFonts w:ascii="Arial" w:eastAsiaTheme="minorEastAsia" w:hAnsi="Arial" w:cs="Arial"/>
          <w:lang w:eastAsia="it-IT"/>
        </w:rPr>
        <w:t>Contributo ANAC</w:t>
      </w:r>
      <w:bookmarkEnd w:id="8"/>
    </w:p>
    <w:p w14:paraId="37BFC87B" w14:textId="77777777" w:rsidR="00AE55CA" w:rsidRDefault="00AE55CA">
      <w:pPr>
        <w:keepNext/>
        <w:tabs>
          <w:tab w:val="left" w:pos="567"/>
          <w:tab w:val="left" w:pos="709"/>
        </w:tabs>
        <w:contextualSpacing/>
        <w:jc w:val="both"/>
        <w:outlineLvl w:val="1"/>
        <w:rPr>
          <w:rFonts w:ascii="Arial" w:eastAsiaTheme="minorEastAsia" w:hAnsi="Arial" w:cs="Arial"/>
          <w:b/>
          <w:bCs/>
          <w:sz w:val="20"/>
          <w:szCs w:val="20"/>
          <w:lang w:eastAsia="it-IT"/>
        </w:rPr>
      </w:pPr>
    </w:p>
    <w:p w14:paraId="537AEAD4" w14:textId="77777777" w:rsidR="00AE55CA" w:rsidRDefault="003B1F75">
      <w:pPr>
        <w:tabs>
          <w:tab w:val="left" w:pos="567"/>
          <w:tab w:val="left" w:pos="709"/>
        </w:tabs>
        <w:contextualSpacing/>
        <w:jc w:val="both"/>
        <w:rPr>
          <w:rFonts w:ascii="Arial" w:hAnsi="Arial" w:cs="Arial"/>
          <w:i/>
          <w:sz w:val="20"/>
          <w:szCs w:val="20"/>
        </w:rPr>
      </w:pPr>
      <w:r>
        <w:rPr>
          <w:rFonts w:ascii="Arial" w:hAnsi="Arial" w:cs="Arial"/>
          <w:sz w:val="20"/>
          <w:szCs w:val="20"/>
        </w:rPr>
        <w:t xml:space="preserve">I concorrenti effettuano, a pena di esclusione, il pagamento del contributo previsto dalla legge in favore dell’ANAC, secondo le disposizioni di cui alla </w:t>
      </w:r>
      <w:r>
        <w:rPr>
          <w:rFonts w:ascii="Arial" w:eastAsia="Calibri" w:hAnsi="Arial" w:cs="Arial"/>
          <w:sz w:val="20"/>
          <w:szCs w:val="20"/>
        </w:rPr>
        <w:t>delibera dell’ANAC medesima</w:t>
      </w:r>
      <w:r>
        <w:rPr>
          <w:rFonts w:ascii="Arial" w:eastAsia="Calibri" w:hAnsi="Arial" w:cs="Arial"/>
          <w:i/>
          <w:sz w:val="20"/>
          <w:szCs w:val="20"/>
        </w:rPr>
        <w:t xml:space="preserve"> </w:t>
      </w:r>
      <w:r>
        <w:rPr>
          <w:rFonts w:ascii="Arial" w:eastAsia="Calibri" w:hAnsi="Arial" w:cs="Arial"/>
          <w:sz w:val="20"/>
          <w:szCs w:val="20"/>
        </w:rPr>
        <w:t>relativa all’entità e alle modalità di versamento dei contributi dovuti per l’anno di svolgimento della presente procedura.</w:t>
      </w:r>
    </w:p>
    <w:p w14:paraId="2D8FA02F"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Indicazioni operative sulle modalità di pagamento del contributo sono disponibili sul sito dell’ANAC al seguente link: </w:t>
      </w:r>
      <w:hyperlink r:id="rId14">
        <w:r>
          <w:rPr>
            <w:rFonts w:ascii="Arial" w:hAnsi="Arial" w:cs="Arial"/>
            <w:color w:val="0563C1"/>
            <w:sz w:val="20"/>
            <w:szCs w:val="20"/>
            <w:u w:val="single"/>
          </w:rPr>
          <w:t>https://www.anticorruzione.it/-/portale-dei-pagamenti-di-anac</w:t>
        </w:r>
      </w:hyperlink>
    </w:p>
    <w:p w14:paraId="7A00E464"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La stazione appaltante accerta il pagamento del contributo mediante consultazione del Fascicolo Virtuale dell’Operatore Economico (FVOE). </w:t>
      </w:r>
    </w:p>
    <w:p w14:paraId="0F46CECF"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Qualora il pagamento non risulti registrato all’interno del FVOE, la stazione appaltante richiede la presentazione della ricevuta di avvenuto pagamento.  </w:t>
      </w:r>
    </w:p>
    <w:p w14:paraId="2A78A60E"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hAnsi="Arial" w:cs="Arial"/>
          <w:sz w:val="20"/>
          <w:szCs w:val="20"/>
        </w:rPr>
        <w:t>In caso di mancata dimostrazione dell’avvenuto pagamento prima della scadenza del termine di presentazione dell’offerta, la stazione appaltante esclude il concorrente dalla procedura di gara, ai sensi dell’articolo 1, comma 67 della Legge 266/05.</w:t>
      </w:r>
    </w:p>
    <w:p w14:paraId="71872C2B" w14:textId="77777777" w:rsidR="00AE55CA" w:rsidRDefault="00AE55CA">
      <w:pPr>
        <w:tabs>
          <w:tab w:val="left" w:pos="284"/>
          <w:tab w:val="left" w:pos="567"/>
          <w:tab w:val="left" w:pos="709"/>
        </w:tabs>
        <w:contextualSpacing/>
        <w:rPr>
          <w:rFonts w:ascii="Arial" w:eastAsiaTheme="minorEastAsia" w:hAnsi="Arial" w:cs="Arial"/>
          <w:sz w:val="20"/>
          <w:szCs w:val="20"/>
          <w:lang w:eastAsia="it-IT"/>
        </w:rPr>
      </w:pPr>
    </w:p>
    <w:p w14:paraId="69B65997" w14:textId="77777777" w:rsidR="00AE55CA" w:rsidRDefault="003B1F75">
      <w:pPr>
        <w:pStyle w:val="Titolo1"/>
        <w:tabs>
          <w:tab w:val="left" w:pos="284"/>
          <w:tab w:val="left" w:pos="567"/>
        </w:tabs>
        <w:ind w:left="0" w:firstLine="0"/>
        <w:rPr>
          <w:rFonts w:ascii="Arial" w:eastAsiaTheme="minorEastAsia" w:hAnsi="Arial" w:cs="Arial"/>
          <w:lang w:eastAsia="it-IT"/>
        </w:rPr>
      </w:pPr>
      <w:bookmarkStart w:id="9" w:name="_Toc127539091"/>
      <w:bookmarkStart w:id="10" w:name="_Toc121120684"/>
      <w:r>
        <w:rPr>
          <w:rFonts w:ascii="Arial" w:eastAsiaTheme="minorEastAsia" w:hAnsi="Arial" w:cs="Arial"/>
          <w:lang w:eastAsia="it-IT"/>
        </w:rPr>
        <w:t>LUOGO E TERMINI DI ESECUZIONE DELL’APPALTO</w:t>
      </w:r>
      <w:bookmarkEnd w:id="9"/>
      <w:bookmarkEnd w:id="10"/>
    </w:p>
    <w:p w14:paraId="1397EC52" w14:textId="77777777" w:rsidR="00AE55CA" w:rsidRDefault="00AE55CA">
      <w:pPr>
        <w:keepNext/>
        <w:tabs>
          <w:tab w:val="left" w:pos="284"/>
          <w:tab w:val="left" w:pos="709"/>
        </w:tabs>
        <w:contextualSpacing/>
        <w:jc w:val="both"/>
        <w:outlineLvl w:val="0"/>
        <w:rPr>
          <w:rFonts w:ascii="Arial" w:eastAsiaTheme="minorEastAsia" w:hAnsi="Arial" w:cs="Arial"/>
          <w:b/>
          <w:bCs/>
          <w:sz w:val="20"/>
          <w:szCs w:val="20"/>
          <w:lang w:eastAsia="it-IT"/>
        </w:rPr>
      </w:pPr>
    </w:p>
    <w:p w14:paraId="4651BFEF" w14:textId="77777777" w:rsidR="00AE55CA" w:rsidRDefault="003B1F75">
      <w:pPr>
        <w:pStyle w:val="Titolo2"/>
        <w:numPr>
          <w:ilvl w:val="1"/>
          <w:numId w:val="5"/>
        </w:numPr>
        <w:tabs>
          <w:tab w:val="left" w:pos="284"/>
          <w:tab w:val="left" w:pos="567"/>
          <w:tab w:val="left" w:pos="709"/>
        </w:tabs>
        <w:ind w:left="0" w:firstLine="0"/>
        <w:rPr>
          <w:rFonts w:ascii="Arial" w:eastAsiaTheme="minorEastAsia" w:hAnsi="Arial" w:cs="Arial"/>
          <w:lang w:eastAsia="it-IT"/>
        </w:rPr>
      </w:pPr>
      <w:bookmarkStart w:id="11" w:name="_Toc127539092"/>
      <w:r>
        <w:rPr>
          <w:rFonts w:ascii="Arial" w:eastAsiaTheme="minorEastAsia" w:hAnsi="Arial" w:cs="Arial"/>
          <w:lang w:eastAsia="it-IT"/>
        </w:rPr>
        <w:t>Luogo di consegna/esecuzione</w:t>
      </w:r>
      <w:bookmarkEnd w:id="11"/>
    </w:p>
    <w:p w14:paraId="493D0BDD" w14:textId="77777777" w:rsidR="00AE55CA" w:rsidRDefault="00AE55CA">
      <w:pPr>
        <w:contextualSpacing/>
        <w:rPr>
          <w:rFonts w:ascii="Arial" w:hAnsi="Arial" w:cs="Arial"/>
          <w:sz w:val="20"/>
          <w:szCs w:val="20"/>
          <w:lang w:eastAsia="it-IT"/>
        </w:rPr>
      </w:pPr>
    </w:p>
    <w:p w14:paraId="45FD0789" w14:textId="2FF78B96" w:rsidR="00AE55CA" w:rsidRPr="00D033C4" w:rsidRDefault="003B1F75" w:rsidP="00D033C4">
      <w:pPr>
        <w:autoSpaceDE w:val="0"/>
        <w:autoSpaceDN w:val="0"/>
        <w:adjustRightInd w:val="0"/>
        <w:jc w:val="both"/>
        <w:rPr>
          <w:rFonts w:ascii="Times New Roman" w:hAnsi="Times New Roman" w:cs="Times New Roman"/>
          <w:sz w:val="20"/>
          <w:szCs w:val="20"/>
        </w:rPr>
      </w:pPr>
      <w:r>
        <w:rPr>
          <w:rFonts w:ascii="Arial" w:eastAsiaTheme="minorEastAsia" w:hAnsi="Arial" w:cs="Arial"/>
          <w:sz w:val="20"/>
          <w:szCs w:val="20"/>
          <w:lang w:eastAsia="it-IT"/>
        </w:rPr>
        <w:lastRenderedPageBreak/>
        <w:t xml:space="preserve">La consegna (ed installazione) della fornitura dovrà essere effettuata presso il CNR Istituto Nazionale di Ottica, </w:t>
      </w:r>
      <w:r w:rsidR="00D033C4" w:rsidRPr="00D033C4">
        <w:rPr>
          <w:rFonts w:ascii="Arial" w:hAnsi="Arial" w:cs="Arial"/>
          <w:sz w:val="20"/>
          <w:szCs w:val="20"/>
        </w:rPr>
        <w:t>c/o LENS, Via Nello Carrara, 1 - 50019 Sesto Fiorentino (FI).</w:t>
      </w:r>
    </w:p>
    <w:p w14:paraId="1716DBFA"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6301CB0D" w14:textId="77777777" w:rsidR="00AE55CA" w:rsidRDefault="003B1F75">
      <w:pPr>
        <w:pStyle w:val="Titolo2"/>
        <w:numPr>
          <w:ilvl w:val="1"/>
          <w:numId w:val="5"/>
        </w:numPr>
        <w:tabs>
          <w:tab w:val="left" w:pos="284"/>
          <w:tab w:val="left" w:pos="567"/>
          <w:tab w:val="left" w:pos="709"/>
        </w:tabs>
        <w:ind w:left="0" w:firstLine="0"/>
        <w:rPr>
          <w:rFonts w:ascii="Arial" w:eastAsiaTheme="minorEastAsia" w:hAnsi="Arial" w:cs="Arial"/>
          <w:lang w:eastAsia="it-IT"/>
        </w:rPr>
      </w:pPr>
      <w:bookmarkStart w:id="12" w:name="_Toc127539093"/>
      <w:r>
        <w:rPr>
          <w:rFonts w:ascii="Arial" w:eastAsiaTheme="minorEastAsia" w:hAnsi="Arial" w:cs="Arial"/>
          <w:lang w:eastAsia="it-IT"/>
        </w:rPr>
        <w:t>T</w:t>
      </w:r>
      <w:r w:rsidRPr="00D033C4">
        <w:rPr>
          <w:rFonts w:ascii="Arial" w:eastAsiaTheme="minorEastAsia" w:hAnsi="Arial" w:cs="Arial"/>
          <w:lang w:eastAsia="it-IT"/>
        </w:rPr>
        <w:t>ermini di esecuzione della fornitur</w:t>
      </w:r>
      <w:r>
        <w:rPr>
          <w:rFonts w:ascii="Arial" w:eastAsiaTheme="minorEastAsia" w:hAnsi="Arial" w:cs="Arial"/>
          <w:lang w:eastAsia="it-IT"/>
        </w:rPr>
        <w:t>a</w:t>
      </w:r>
      <w:bookmarkEnd w:id="12"/>
    </w:p>
    <w:p w14:paraId="56D7ABA1" w14:textId="77777777" w:rsidR="00AE55CA" w:rsidRDefault="00AE55CA">
      <w:pPr>
        <w:contextualSpacing/>
        <w:rPr>
          <w:rFonts w:ascii="Arial" w:hAnsi="Arial" w:cs="Arial"/>
          <w:sz w:val="20"/>
          <w:szCs w:val="20"/>
          <w:lang w:eastAsia="it-IT"/>
        </w:rPr>
      </w:pPr>
    </w:p>
    <w:p w14:paraId="2AE02DA2" w14:textId="77777777" w:rsidR="00AE55CA" w:rsidRDefault="003B1F75">
      <w:pPr>
        <w:numPr>
          <w:ilvl w:val="0"/>
          <w:numId w:val="2"/>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 consegna dovrà avvenire </w:t>
      </w:r>
      <w:r w:rsidRPr="00D033C4">
        <w:rPr>
          <w:rFonts w:ascii="Arial" w:eastAsiaTheme="minorEastAsia" w:hAnsi="Arial" w:cs="Arial"/>
          <w:sz w:val="20"/>
          <w:szCs w:val="20"/>
          <w:lang w:eastAsia="it-IT"/>
        </w:rPr>
        <w:t xml:space="preserve">entro </w:t>
      </w:r>
      <w:r w:rsidRPr="00D033C4">
        <w:rPr>
          <w:rFonts w:ascii="Arial" w:eastAsia="Calibri" w:hAnsi="Arial" w:cs="Arial"/>
          <w:sz w:val="20"/>
          <w:szCs w:val="20"/>
        </w:rPr>
        <w:t>180 (centottanta)</w:t>
      </w:r>
      <w:r>
        <w:rPr>
          <w:rFonts w:ascii="Arial" w:eastAsia="Calibri" w:hAnsi="Arial" w:cs="Arial"/>
          <w:sz w:val="20"/>
          <w:szCs w:val="20"/>
        </w:rPr>
        <w:t xml:space="preserve"> </w:t>
      </w:r>
      <w:r>
        <w:rPr>
          <w:rFonts w:ascii="Arial" w:eastAsiaTheme="minorEastAsia" w:hAnsi="Arial" w:cs="Arial"/>
          <w:sz w:val="20"/>
          <w:szCs w:val="20"/>
          <w:lang w:eastAsia="it-IT"/>
        </w:rPr>
        <w:t>giorni solari, sabati, domeniche e festività incluse, decorrenti dalla stipula del contratto;</w:t>
      </w:r>
    </w:p>
    <w:p w14:paraId="75437A23" w14:textId="77777777" w:rsidR="00AE55CA" w:rsidRDefault="003B1F75">
      <w:pPr>
        <w:numPr>
          <w:ilvl w:val="0"/>
          <w:numId w:val="2"/>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L’eventuale installazione e il collaudo dovranno avvenire entro 30 (trenta) giorni solari, sabati, domeniche e festività incluse, decorrenti dalla consegna.</w:t>
      </w:r>
    </w:p>
    <w:p w14:paraId="38B18C33"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0E5C4132" w14:textId="77777777" w:rsidR="00AE55CA" w:rsidRDefault="003B1F75">
      <w:pPr>
        <w:pStyle w:val="Titolo1"/>
        <w:tabs>
          <w:tab w:val="left" w:pos="284"/>
          <w:tab w:val="left" w:pos="567"/>
          <w:tab w:val="left" w:pos="709"/>
        </w:tabs>
        <w:ind w:left="0" w:firstLine="0"/>
        <w:rPr>
          <w:rFonts w:ascii="Arial" w:eastAsiaTheme="minorEastAsia" w:hAnsi="Arial" w:cs="Arial"/>
          <w:lang w:eastAsia="it-IT"/>
        </w:rPr>
      </w:pPr>
      <w:bookmarkStart w:id="13" w:name="_Toc127539094"/>
      <w:r>
        <w:rPr>
          <w:rFonts w:ascii="Arial" w:eastAsiaTheme="minorEastAsia" w:hAnsi="Arial" w:cs="Arial"/>
          <w:lang w:eastAsia="it-IT"/>
        </w:rPr>
        <w:t>SOPRALLUOGO</w:t>
      </w:r>
      <w:bookmarkEnd w:id="13"/>
    </w:p>
    <w:p w14:paraId="043DC547" w14:textId="77777777" w:rsidR="00AE55CA" w:rsidRDefault="00AE55CA">
      <w:pPr>
        <w:contextualSpacing/>
        <w:rPr>
          <w:rFonts w:ascii="Arial" w:hAnsi="Arial" w:cs="Arial"/>
          <w:sz w:val="20"/>
          <w:szCs w:val="20"/>
          <w:lang w:eastAsia="it-IT"/>
        </w:rPr>
      </w:pPr>
    </w:p>
    <w:p w14:paraId="50C5EB6A" w14:textId="77777777"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La Stazione appaltante ha reputato che il sopralluogo non sia necessario, ma si rende disponibile a permettere il sopralluogo per gli operatori economici che intendono effettuarlo.</w:t>
      </w:r>
    </w:p>
    <w:p w14:paraId="53E52B4E" w14:textId="77777777"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Il sopralluogo è effettuato accedendo di persona nelle aree oggetto di sopralluogo o a distanza. Può essere effettuato previo appuntamento da concordarsi con il Responsabile Unico del Procedimento</w:t>
      </w:r>
      <w:r>
        <w:rPr>
          <w:rFonts w:ascii="Arial" w:hAnsi="Arial" w:cs="Arial"/>
          <w:i/>
          <w:sz w:val="20"/>
          <w:szCs w:val="20"/>
        </w:rPr>
        <w:t>.</w:t>
      </w:r>
      <w:r>
        <w:rPr>
          <w:rFonts w:ascii="Arial" w:hAnsi="Arial" w:cs="Arial"/>
          <w:sz w:val="20"/>
          <w:szCs w:val="20"/>
        </w:rPr>
        <w:t xml:space="preserve"> </w:t>
      </w:r>
    </w:p>
    <w:p w14:paraId="19BB3B76" w14:textId="77777777"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3EE4D577" w14:textId="77777777"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Il soggetto delegato ad effettuare il sopralluogo non può ricevere l’incarico da più concorrenti. In tal caso la stazione appaltante non rilascia la relativa attestazione ad alcuno dei soggetti deleganti.</w:t>
      </w:r>
    </w:p>
    <w:p w14:paraId="6BDE0786" w14:textId="77777777"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351F4D79" w14:textId="1459BB9E" w:rsidR="00AE55CA" w:rsidRDefault="003B1F75">
      <w:pPr>
        <w:tabs>
          <w:tab w:val="left" w:pos="284"/>
          <w:tab w:val="left" w:pos="567"/>
          <w:tab w:val="left" w:pos="709"/>
        </w:tabs>
        <w:contextualSpacing/>
        <w:jc w:val="both"/>
        <w:rPr>
          <w:rFonts w:ascii="Arial" w:hAnsi="Arial" w:cs="Arial"/>
          <w:sz w:val="20"/>
          <w:szCs w:val="20"/>
        </w:rPr>
      </w:pPr>
      <w:r>
        <w:rPr>
          <w:rFonts w:ascii="Arial" w:hAnsi="Arial" w:cs="Arial"/>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r w:rsidR="00D033C4">
        <w:rPr>
          <w:rFonts w:ascii="Arial" w:hAnsi="Arial" w:cs="Arial"/>
          <w:sz w:val="20"/>
          <w:szCs w:val="20"/>
        </w:rPr>
        <w:t xml:space="preserve"> </w:t>
      </w:r>
      <w:r>
        <w:rPr>
          <w:rFonts w:ascii="Arial" w:hAnsi="Arial" w:cs="Arial"/>
          <w:sz w:val="20"/>
          <w:szCs w:val="20"/>
        </w:rPr>
        <w:t>In caso di consorzio il sopralluogo deve essere effettuato da soggetto munito di delega conferita dal consorzio oppure dall’operatore economico consorziato indicato come esecutore.</w:t>
      </w:r>
    </w:p>
    <w:p w14:paraId="0CEBE4D7"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50B6C354" w14:textId="77777777" w:rsidR="00AE55CA" w:rsidRDefault="003B1F75">
      <w:pPr>
        <w:pStyle w:val="Titolo1"/>
        <w:tabs>
          <w:tab w:val="left" w:pos="284"/>
          <w:tab w:val="left" w:pos="567"/>
          <w:tab w:val="left" w:pos="709"/>
        </w:tabs>
        <w:ind w:left="0" w:firstLine="0"/>
        <w:rPr>
          <w:rFonts w:ascii="Arial" w:eastAsiaTheme="minorEastAsia" w:hAnsi="Arial" w:cs="Arial"/>
          <w:lang w:eastAsia="it-IT"/>
        </w:rPr>
      </w:pPr>
      <w:bookmarkStart w:id="14" w:name="_Toc127539095"/>
      <w:bookmarkStart w:id="15" w:name="_Toc121120686"/>
      <w:bookmarkStart w:id="16" w:name="_Ref260240"/>
      <w:r>
        <w:rPr>
          <w:rFonts w:ascii="Arial" w:eastAsiaTheme="minorEastAsia" w:hAnsi="Arial" w:cs="Arial"/>
          <w:lang w:eastAsia="it-IT"/>
        </w:rPr>
        <w:t>PENALI</w:t>
      </w:r>
      <w:bookmarkEnd w:id="14"/>
      <w:bookmarkEnd w:id="15"/>
      <w:bookmarkEnd w:id="16"/>
      <w:r>
        <w:rPr>
          <w:rFonts w:ascii="Arial" w:eastAsiaTheme="minorEastAsia" w:hAnsi="Arial" w:cs="Arial"/>
          <w:lang w:eastAsia="it-IT"/>
        </w:rPr>
        <w:t xml:space="preserve"> </w:t>
      </w:r>
    </w:p>
    <w:p w14:paraId="0E704256" w14:textId="77777777" w:rsidR="00AE55CA" w:rsidRDefault="00AE55CA">
      <w:pPr>
        <w:contextualSpacing/>
        <w:rPr>
          <w:rFonts w:ascii="Arial" w:hAnsi="Arial" w:cs="Arial"/>
          <w:sz w:val="20"/>
          <w:szCs w:val="20"/>
          <w:lang w:eastAsia="it-IT"/>
        </w:rPr>
      </w:pPr>
    </w:p>
    <w:p w14:paraId="03ADA866" w14:textId="77777777" w:rsidR="00AE55CA" w:rsidRDefault="003B1F75">
      <w:pPr>
        <w:numPr>
          <w:ilvl w:val="1"/>
          <w:numId w:val="1"/>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Per ogni giorno solare di ritardo nell’esecuzione del presente appalto si applicherà una penale pari all’1‰ (uno per mille) dell’importo contrattuale al netto dell’IVA.</w:t>
      </w:r>
    </w:p>
    <w:p w14:paraId="38220BA6" w14:textId="77777777" w:rsidR="00AE55CA" w:rsidRDefault="003B1F75">
      <w:pPr>
        <w:numPr>
          <w:ilvl w:val="1"/>
          <w:numId w:val="1"/>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Gli inadempimenti contrattuali che daranno luogo all’applicazione di penali di cui ai precedenti periodi verranno contestati all’Aggiudicatario per iscritto. </w:t>
      </w:r>
    </w:p>
    <w:p w14:paraId="0D25BACC" w14:textId="77777777" w:rsidR="00AE55CA" w:rsidRDefault="003B1F75">
      <w:pPr>
        <w:numPr>
          <w:ilvl w:val="1"/>
          <w:numId w:val="1"/>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dovrà comunicare in ogni caso le proprie deduzioni nel termine massimo di 5 (cinque) giorni lavorativi dalla stessa contestazione. Qualora dette deduzioni non siano accoglibili a giudizio dell’Amministrazione ovvero non vi sia stata risposta o la stessa non sia giunta nel termine indicato, si applicheranno le penali sopra indicate. </w:t>
      </w:r>
    </w:p>
    <w:p w14:paraId="7B7BCF44" w14:textId="77777777" w:rsidR="00AE55CA" w:rsidRDefault="003B1F75">
      <w:pPr>
        <w:numPr>
          <w:ilvl w:val="1"/>
          <w:numId w:val="1"/>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Le penali verranno regolate dall’ Amministrazione, o sui corrispettivi dovuti all’Aggiudicatario per le porzioni di appalto già eseguite oppure sulla garanzia definitiva. In quest’ultimo caso la garanzia definitiva dovrà essere reintegrata entro i termini fissati dall’ Amministrazione.</w:t>
      </w:r>
    </w:p>
    <w:p w14:paraId="57CB5585"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2E9CA5DC" w14:textId="77777777" w:rsidR="00AE55CA" w:rsidRDefault="003B1F75">
      <w:pPr>
        <w:pStyle w:val="Titolo1"/>
        <w:tabs>
          <w:tab w:val="left" w:pos="284"/>
          <w:tab w:val="left" w:pos="567"/>
          <w:tab w:val="left" w:pos="709"/>
        </w:tabs>
        <w:ind w:left="0" w:firstLine="0"/>
        <w:rPr>
          <w:rFonts w:ascii="Arial" w:eastAsiaTheme="minorEastAsia" w:hAnsi="Arial" w:cs="Arial"/>
          <w:lang w:eastAsia="it-IT"/>
        </w:rPr>
      </w:pPr>
      <w:bookmarkStart w:id="17" w:name="_Toc121120687"/>
      <w:bookmarkStart w:id="18" w:name="_Toc127539096"/>
      <w:r>
        <w:rPr>
          <w:rFonts w:ascii="Arial" w:eastAsiaTheme="minorEastAsia" w:hAnsi="Arial" w:cs="Arial"/>
          <w:lang w:eastAsia="it-IT"/>
        </w:rPr>
        <w:t>DOCUMENTAZIONE DI GARA, CHIARIMENTI</w:t>
      </w:r>
      <w:bookmarkEnd w:id="17"/>
      <w:r>
        <w:rPr>
          <w:rFonts w:ascii="Arial" w:eastAsiaTheme="minorEastAsia" w:hAnsi="Arial" w:cs="Arial"/>
          <w:lang w:eastAsia="it-IT"/>
        </w:rPr>
        <w:t xml:space="preserve"> E COMUNICAZIONI</w:t>
      </w:r>
      <w:bookmarkEnd w:id="18"/>
    </w:p>
    <w:p w14:paraId="4A93BAE5" w14:textId="77777777" w:rsidR="00AE55CA" w:rsidRDefault="00AE55CA">
      <w:pPr>
        <w:keepNext/>
        <w:tabs>
          <w:tab w:val="left" w:pos="284"/>
          <w:tab w:val="left" w:pos="567"/>
          <w:tab w:val="left" w:pos="709"/>
        </w:tabs>
        <w:contextualSpacing/>
        <w:jc w:val="both"/>
        <w:outlineLvl w:val="0"/>
        <w:rPr>
          <w:rFonts w:ascii="Arial" w:eastAsiaTheme="minorEastAsia" w:hAnsi="Arial" w:cs="Arial"/>
          <w:b/>
          <w:bCs/>
          <w:sz w:val="20"/>
          <w:szCs w:val="20"/>
          <w:lang w:eastAsia="it-IT"/>
        </w:rPr>
      </w:pPr>
    </w:p>
    <w:p w14:paraId="2075B218" w14:textId="77777777" w:rsidR="00AE55CA" w:rsidRDefault="003B1F75">
      <w:pPr>
        <w:pStyle w:val="Titolo2"/>
        <w:numPr>
          <w:ilvl w:val="1"/>
          <w:numId w:val="5"/>
        </w:numPr>
        <w:tabs>
          <w:tab w:val="left" w:pos="284"/>
          <w:tab w:val="left" w:pos="567"/>
          <w:tab w:val="left" w:pos="709"/>
        </w:tabs>
        <w:ind w:left="0" w:firstLine="0"/>
        <w:rPr>
          <w:rFonts w:ascii="Arial" w:eastAsiaTheme="minorEastAsia" w:hAnsi="Arial" w:cs="Arial"/>
          <w:lang w:eastAsia="it-IT"/>
        </w:rPr>
      </w:pPr>
      <w:bookmarkStart w:id="19" w:name="_Toc127539097"/>
      <w:r>
        <w:rPr>
          <w:rFonts w:ascii="Arial" w:eastAsiaTheme="minorEastAsia" w:hAnsi="Arial" w:cs="Arial"/>
          <w:lang w:eastAsia="it-IT"/>
        </w:rPr>
        <w:t>Documentazione di gara</w:t>
      </w:r>
      <w:bookmarkEnd w:id="19"/>
    </w:p>
    <w:p w14:paraId="5E3E0075" w14:textId="77777777" w:rsidR="00AE55CA" w:rsidRDefault="00AE55CA">
      <w:pPr>
        <w:contextualSpacing/>
        <w:rPr>
          <w:rFonts w:ascii="Arial" w:hAnsi="Arial" w:cs="Arial"/>
          <w:sz w:val="20"/>
          <w:szCs w:val="20"/>
          <w:lang w:eastAsia="it-IT"/>
        </w:rPr>
      </w:pPr>
    </w:p>
    <w:p w14:paraId="0BA47C1F" w14:textId="77777777" w:rsidR="00AE55CA" w:rsidRDefault="003B1F75">
      <w:pPr>
        <w:contextualSpacing/>
        <w:rPr>
          <w:rFonts w:ascii="Arial" w:eastAsiaTheme="minorEastAsia" w:hAnsi="Arial" w:cs="Arial"/>
          <w:sz w:val="20"/>
          <w:szCs w:val="20"/>
          <w:lang w:eastAsia="it-IT"/>
        </w:rPr>
      </w:pPr>
      <w:r>
        <w:rPr>
          <w:rFonts w:ascii="Arial" w:eastAsiaTheme="minorEastAsia" w:hAnsi="Arial" w:cs="Arial"/>
          <w:sz w:val="20"/>
          <w:szCs w:val="20"/>
          <w:lang w:eastAsia="it-IT"/>
        </w:rPr>
        <w:t>Fa parte della documentazione di gara quanto segue:</w:t>
      </w:r>
    </w:p>
    <w:p w14:paraId="25D07DA7" w14:textId="77777777" w:rsidR="00D033C4" w:rsidRDefault="00D033C4" w:rsidP="00D033C4">
      <w:pPr>
        <w:tabs>
          <w:tab w:val="left" w:pos="284"/>
        </w:tabs>
        <w:rPr>
          <w:rFonts w:ascii="Arial" w:eastAsiaTheme="minorEastAsia" w:hAnsi="Arial" w:cs="Arial"/>
          <w:sz w:val="20"/>
          <w:szCs w:val="20"/>
          <w:lang w:eastAsia="it-IT"/>
        </w:rPr>
      </w:pPr>
    </w:p>
    <w:p w14:paraId="0B813273" w14:textId="77777777" w:rsidR="00D033C4" w:rsidRPr="00B1530E" w:rsidRDefault="00D033C4" w:rsidP="00D033C4">
      <w:pPr>
        <w:pStyle w:val="Paragrafoelenco"/>
        <w:numPr>
          <w:ilvl w:val="0"/>
          <w:numId w:val="16"/>
        </w:numPr>
        <w:tabs>
          <w:tab w:val="left" w:pos="284"/>
        </w:tabs>
        <w:suppressAutoHyphens w:val="0"/>
        <w:ind w:hanging="720"/>
        <w:rPr>
          <w:rFonts w:ascii="Arial" w:eastAsiaTheme="minorEastAsia" w:hAnsi="Arial" w:cs="Arial"/>
          <w:sz w:val="20"/>
          <w:szCs w:val="20"/>
          <w:lang w:eastAsia="it-IT"/>
        </w:rPr>
      </w:pPr>
      <w:r w:rsidRPr="00B1530E">
        <w:rPr>
          <w:rFonts w:ascii="Arial" w:eastAsiaTheme="minorEastAsia" w:hAnsi="Arial" w:cs="Arial"/>
          <w:sz w:val="20"/>
          <w:szCs w:val="20"/>
          <w:lang w:eastAsia="it-IT"/>
        </w:rPr>
        <w:t>Lettera di invito - Condizioni particolari RDO MEPA;</w:t>
      </w:r>
    </w:p>
    <w:p w14:paraId="76792144"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Schema di Contratto;</w:t>
      </w:r>
    </w:p>
    <w:p w14:paraId="1FFE3673"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1 - Documento di Gara Unico Europeo - DGUE;</w:t>
      </w:r>
    </w:p>
    <w:p w14:paraId="767BA048"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2 - Dichiarazione integrativa al DGUE;</w:t>
      </w:r>
    </w:p>
    <w:p w14:paraId="7FC0E76F"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lastRenderedPageBreak/>
        <w:t>Allegato 3 - Dichiarazione costi manodopera (eventuale, in caso di fornitura con installazione)</w:t>
      </w:r>
    </w:p>
    <w:p w14:paraId="267B8224"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 xml:space="preserve">Allegato 4 - Dichiarazione obblighi </w:t>
      </w:r>
      <w:proofErr w:type="spellStart"/>
      <w:r w:rsidRPr="00B1530E">
        <w:rPr>
          <w:rFonts w:ascii="Arial" w:eastAsiaTheme="minorEastAsia" w:hAnsi="Arial" w:cs="Arial"/>
          <w:sz w:val="20"/>
          <w:szCs w:val="20"/>
          <w:lang w:eastAsia="it-IT"/>
        </w:rPr>
        <w:t>assunzionali</w:t>
      </w:r>
      <w:proofErr w:type="spellEnd"/>
      <w:r w:rsidRPr="00B1530E">
        <w:rPr>
          <w:rFonts w:ascii="Arial" w:eastAsiaTheme="minorEastAsia" w:hAnsi="Arial" w:cs="Arial"/>
          <w:sz w:val="20"/>
          <w:szCs w:val="20"/>
          <w:lang w:eastAsia="it-IT"/>
        </w:rPr>
        <w:t xml:space="preserve">; </w:t>
      </w:r>
    </w:p>
    <w:p w14:paraId="6B3C5972"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5 - Dichiarazione titolare effettivo;</w:t>
      </w:r>
    </w:p>
    <w:p w14:paraId="0540575D" w14:textId="77777777" w:rsidR="00D033C4" w:rsidRPr="00B1530E" w:rsidRDefault="00D033C4" w:rsidP="00D033C4">
      <w:pPr>
        <w:tabs>
          <w:tab w:val="left" w:pos="284"/>
        </w:tabs>
        <w:rPr>
          <w:rFonts w:ascii="Arial" w:eastAsiaTheme="minorEastAsia" w:hAnsi="Arial" w:cs="Arial"/>
          <w:sz w:val="20"/>
          <w:szCs w:val="20"/>
          <w:lang w:eastAsia="it-IT"/>
        </w:rPr>
      </w:pPr>
      <w:r w:rsidRPr="00B1530E">
        <w:rPr>
          <w:rFonts w:ascii="Arial" w:eastAsiaTheme="minorEastAsia" w:hAnsi="Arial" w:cs="Arial"/>
          <w:sz w:val="20"/>
          <w:szCs w:val="20"/>
          <w:lang w:eastAsia="it-IT"/>
        </w:rPr>
        <w:t>G1) Allegato 5.1 - Dichiarazione assenza conflitto di interessi titolare effettivo;</w:t>
      </w:r>
    </w:p>
    <w:p w14:paraId="10644276"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hAnsi="Arial" w:cs="Arial"/>
          <w:sz w:val="20"/>
          <w:szCs w:val="20"/>
        </w:rPr>
        <w:t>Allegato 6 - Dichiarazioni DNSH – Scheda;</w:t>
      </w:r>
    </w:p>
    <w:p w14:paraId="71565AC4"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7 - Comunicazione del conto corrente dedicato ai sensi della L. 136/2010;</w:t>
      </w:r>
    </w:p>
    <w:p w14:paraId="18E5105C"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8 - Patto di integrità del CNR;</w:t>
      </w:r>
    </w:p>
    <w:p w14:paraId="26B15657"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Allegato 9 - Relazione tecnica descrittiva della fornitura offerta;</w:t>
      </w:r>
    </w:p>
    <w:p w14:paraId="7C4A14EE"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bookmarkStart w:id="20" w:name="_Hlk148962895"/>
      <w:r w:rsidRPr="00B1530E">
        <w:rPr>
          <w:rFonts w:ascii="Arial" w:eastAsiaTheme="minorEastAsia" w:hAnsi="Arial" w:cs="Arial"/>
          <w:sz w:val="20"/>
          <w:szCs w:val="20"/>
          <w:lang w:eastAsia="it-IT"/>
        </w:rPr>
        <w:t>Allegato 10 - Dichiarazione di cui al DPCM 187/1991</w:t>
      </w:r>
    </w:p>
    <w:bookmarkEnd w:id="20"/>
    <w:p w14:paraId="4111D9AF" w14:textId="02F032DC" w:rsidR="00D033C4" w:rsidRPr="00B1530E" w:rsidRDefault="00424BC2"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fldChar w:fldCharType="begin"/>
      </w:r>
      <w:r w:rsidRPr="00B1530E">
        <w:rPr>
          <w:rFonts w:ascii="Arial" w:eastAsiaTheme="minorEastAsia" w:hAnsi="Arial" w:cs="Arial"/>
          <w:sz w:val="20"/>
          <w:szCs w:val="20"/>
          <w:lang w:eastAsia="it-IT"/>
        </w:rPr>
        <w:instrText>HYPERLINK "https://www.cnr.it/sites/default/files/public/media/amministrazione_trasparente/c17-25-circolare-a_codice_comportamento_2017.pdf"</w:instrText>
      </w:r>
      <w:r w:rsidRPr="00B1530E">
        <w:rPr>
          <w:rFonts w:ascii="Arial" w:eastAsiaTheme="minorEastAsia" w:hAnsi="Arial" w:cs="Arial"/>
          <w:sz w:val="20"/>
          <w:szCs w:val="20"/>
          <w:lang w:eastAsia="it-IT"/>
        </w:rPr>
      </w:r>
      <w:r w:rsidRPr="00B1530E">
        <w:rPr>
          <w:rFonts w:ascii="Arial" w:eastAsiaTheme="minorEastAsia" w:hAnsi="Arial" w:cs="Arial"/>
          <w:sz w:val="20"/>
          <w:szCs w:val="20"/>
          <w:lang w:eastAsia="it-IT"/>
        </w:rPr>
        <w:fldChar w:fldCharType="separate"/>
      </w:r>
      <w:r w:rsidR="00D033C4" w:rsidRPr="00B1530E">
        <w:rPr>
          <w:rStyle w:val="Collegamentoipertestuale"/>
          <w:rFonts w:ascii="Arial" w:eastAsiaTheme="minorEastAsia" w:hAnsi="Arial" w:cs="Arial"/>
          <w:sz w:val="20"/>
          <w:szCs w:val="20"/>
          <w:lang w:eastAsia="it-IT"/>
        </w:rPr>
        <w:t>Codice di comportamento del CNR</w:t>
      </w:r>
      <w:r w:rsidRPr="00B1530E">
        <w:rPr>
          <w:rFonts w:ascii="Arial" w:eastAsiaTheme="minorEastAsia" w:hAnsi="Arial" w:cs="Arial"/>
          <w:sz w:val="20"/>
          <w:szCs w:val="20"/>
          <w:lang w:eastAsia="it-IT"/>
        </w:rPr>
        <w:fldChar w:fldCharType="end"/>
      </w:r>
      <w:r w:rsidR="00D033C4" w:rsidRPr="00B1530E">
        <w:rPr>
          <w:rFonts w:ascii="Arial" w:eastAsiaTheme="minorEastAsia" w:hAnsi="Arial" w:cs="Arial"/>
          <w:sz w:val="20"/>
          <w:szCs w:val="20"/>
          <w:lang w:eastAsia="it-IT"/>
        </w:rPr>
        <w:t>;</w:t>
      </w:r>
    </w:p>
    <w:p w14:paraId="64D8E5B7" w14:textId="77777777" w:rsidR="00D033C4" w:rsidRPr="00B1530E" w:rsidRDefault="00D033C4" w:rsidP="00D033C4">
      <w:pPr>
        <w:pStyle w:val="Paragrafoelenco"/>
        <w:numPr>
          <w:ilvl w:val="0"/>
          <w:numId w:val="16"/>
        </w:numPr>
        <w:tabs>
          <w:tab w:val="left" w:pos="284"/>
        </w:tabs>
        <w:suppressAutoHyphens w:val="0"/>
        <w:ind w:left="0" w:firstLine="0"/>
        <w:rPr>
          <w:rFonts w:ascii="Arial" w:eastAsiaTheme="minorEastAsia" w:hAnsi="Arial" w:cs="Arial"/>
          <w:sz w:val="20"/>
          <w:szCs w:val="20"/>
          <w:lang w:eastAsia="it-IT"/>
        </w:rPr>
      </w:pPr>
      <w:r w:rsidRPr="00B1530E">
        <w:rPr>
          <w:rFonts w:ascii="Arial" w:eastAsiaTheme="minorEastAsia" w:hAnsi="Arial" w:cs="Arial"/>
          <w:sz w:val="20"/>
          <w:szCs w:val="20"/>
          <w:lang w:eastAsia="it-IT"/>
        </w:rPr>
        <w:t>Le regole del Sistema di e-procurement della Pubblica Amministrazione.</w:t>
      </w:r>
    </w:p>
    <w:p w14:paraId="5C74E4FA" w14:textId="77777777" w:rsidR="00D033C4" w:rsidRPr="00D033C4" w:rsidRDefault="00D033C4" w:rsidP="00D033C4">
      <w:pPr>
        <w:tabs>
          <w:tab w:val="left" w:pos="284"/>
        </w:tabs>
        <w:rPr>
          <w:rFonts w:ascii="Arial" w:eastAsiaTheme="minorEastAsia" w:hAnsi="Arial" w:cs="Arial"/>
          <w:sz w:val="20"/>
          <w:szCs w:val="20"/>
          <w:lang w:eastAsia="it-IT"/>
        </w:rPr>
      </w:pPr>
    </w:p>
    <w:p w14:paraId="4E07CFA7" w14:textId="77777777" w:rsidR="00AE55CA" w:rsidRDefault="003B1F75">
      <w:pPr>
        <w:pStyle w:val="Titolo2"/>
        <w:numPr>
          <w:ilvl w:val="1"/>
          <w:numId w:val="5"/>
        </w:numPr>
        <w:tabs>
          <w:tab w:val="left" w:pos="426"/>
          <w:tab w:val="left" w:pos="567"/>
          <w:tab w:val="left" w:pos="709"/>
        </w:tabs>
        <w:ind w:left="0" w:firstLine="0"/>
        <w:rPr>
          <w:rFonts w:ascii="Arial" w:eastAsiaTheme="minorEastAsia" w:hAnsi="Arial" w:cs="Arial"/>
          <w:lang w:eastAsia="it-IT"/>
        </w:rPr>
      </w:pPr>
      <w:bookmarkStart w:id="21" w:name="_Toc127539098"/>
      <w:r>
        <w:rPr>
          <w:rFonts w:ascii="Arial" w:eastAsiaTheme="minorEastAsia" w:hAnsi="Arial" w:cs="Arial"/>
          <w:lang w:eastAsia="it-IT"/>
        </w:rPr>
        <w:t>Chiarimenti</w:t>
      </w:r>
      <w:bookmarkEnd w:id="21"/>
    </w:p>
    <w:p w14:paraId="1CB623FE" w14:textId="77777777" w:rsidR="00AE55CA" w:rsidRDefault="00AE55CA">
      <w:pPr>
        <w:contextualSpacing/>
        <w:rPr>
          <w:rFonts w:ascii="Arial" w:hAnsi="Arial" w:cs="Arial"/>
          <w:sz w:val="20"/>
          <w:szCs w:val="20"/>
          <w:lang w:eastAsia="it-IT"/>
        </w:rPr>
      </w:pPr>
    </w:p>
    <w:p w14:paraId="128F9773" w14:textId="30279F7F" w:rsidR="00AE55CA" w:rsidRDefault="003B1F75">
      <w:pPr>
        <w:tabs>
          <w:tab w:val="left" w:pos="284"/>
          <w:tab w:val="left" w:pos="426"/>
          <w:tab w:val="left" w:pos="567"/>
          <w:tab w:val="left" w:pos="709"/>
        </w:tabs>
        <w:contextualSpacing/>
        <w:jc w:val="both"/>
        <w:rPr>
          <w:rFonts w:ascii="Arial" w:hAnsi="Arial" w:cs="Arial"/>
          <w:sz w:val="20"/>
          <w:szCs w:val="20"/>
        </w:rPr>
      </w:pPr>
      <w:r>
        <w:rPr>
          <w:rFonts w:ascii="Arial" w:hAnsi="Arial" w:cs="Arial"/>
          <w:sz w:val="20"/>
          <w:szCs w:val="20"/>
        </w:rPr>
        <w:t xml:space="preserve">È possibile ottenere chiarimenti sulla presente procedura mediante la proposizione di quesiti scritti da inoltrare entro le </w:t>
      </w:r>
      <w:r w:rsidR="00A01071" w:rsidRPr="00A72355">
        <w:rPr>
          <w:rFonts w:ascii="Arial" w:hAnsi="Arial" w:cs="Arial"/>
          <w:b/>
          <w:bCs/>
          <w:sz w:val="20"/>
          <w:szCs w:val="20"/>
          <w:highlight w:val="yellow"/>
        </w:rPr>
        <w:t xml:space="preserve">ore </w:t>
      </w:r>
      <w:r w:rsidR="00A01071">
        <w:rPr>
          <w:rFonts w:ascii="Arial" w:hAnsi="Arial" w:cs="Arial"/>
          <w:b/>
          <w:bCs/>
          <w:sz w:val="20"/>
          <w:szCs w:val="20"/>
          <w:highlight w:val="yellow"/>
        </w:rPr>
        <w:t>17:00</w:t>
      </w:r>
      <w:r w:rsidR="00A01071" w:rsidRPr="00A72355">
        <w:rPr>
          <w:rFonts w:ascii="Arial" w:hAnsi="Arial" w:cs="Arial"/>
          <w:b/>
          <w:bCs/>
          <w:sz w:val="20"/>
          <w:szCs w:val="20"/>
          <w:highlight w:val="yellow"/>
        </w:rPr>
        <w:t xml:space="preserve"> del giorno _____________</w:t>
      </w:r>
      <w:r w:rsidR="00A01071" w:rsidRPr="00A72355">
        <w:rPr>
          <w:rFonts w:ascii="Arial" w:hAnsi="Arial" w:cs="Arial"/>
          <w:sz w:val="20"/>
          <w:szCs w:val="20"/>
          <w:highlight w:val="yellow"/>
        </w:rPr>
        <w:t>,</w:t>
      </w:r>
      <w:r w:rsidR="00A01071">
        <w:rPr>
          <w:rFonts w:ascii="Arial" w:hAnsi="Arial" w:cs="Arial"/>
          <w:sz w:val="20"/>
          <w:szCs w:val="20"/>
        </w:rPr>
        <w:t xml:space="preserve"> </w:t>
      </w:r>
      <w:r>
        <w:rPr>
          <w:rFonts w:ascii="Arial" w:hAnsi="Arial" w:cs="Arial"/>
          <w:sz w:val="20"/>
          <w:szCs w:val="20"/>
        </w:rPr>
        <w:t xml:space="preserve">in via telematica attraverso la sezione del Sistema riservata alle Richieste Chiarimenti, previa registrazione alla piattaforma stessa. Le richieste di chiarimenti devono essere formulate esclusivamente in lingua italiana. </w:t>
      </w:r>
    </w:p>
    <w:p w14:paraId="29B1D7E4" w14:textId="77777777" w:rsidR="00AE55CA" w:rsidRDefault="003B1F75">
      <w:pPr>
        <w:tabs>
          <w:tab w:val="left" w:pos="284"/>
          <w:tab w:val="left" w:pos="426"/>
          <w:tab w:val="left" w:pos="567"/>
          <w:tab w:val="left" w:pos="709"/>
        </w:tabs>
        <w:contextualSpacing/>
        <w:jc w:val="both"/>
        <w:rPr>
          <w:rFonts w:ascii="Arial" w:hAnsi="Arial" w:cs="Arial"/>
          <w:sz w:val="20"/>
          <w:szCs w:val="20"/>
        </w:rPr>
      </w:pPr>
      <w:r>
        <w:rPr>
          <w:rFonts w:ascii="Arial" w:hAnsi="Arial" w:cs="Arial"/>
          <w:sz w:val="20"/>
          <w:szCs w:val="20"/>
        </w:rPr>
        <w:t>In via transitoria e sino al 31 dicembre 2023, in applicazione dell’articolo 225 del D. Lgs. 36/2023, le risposte alle richieste di chiarimenti vanno presentate ed ai sensi dell’art. 74 comma 4 del Codice 50/2016, sono fornite in formato elettronico, firmato digitalmente, almeno 6 giorni prima della scadenza del termine fissato per la presentazione delle offerte, mediante pubblicazione delle richieste in forma anonima e delle relative risposte sulla piattaforma del sistema nella sezione Comunicati e sul sito istituzionale dell’Ente https://www.urp.cnr.it/ nella sezione dove è pubblicata la documentazione di gara. Si invitano i concorrenti a visionare costantemente tali sezioni. Non saranno ammessi chiarimenti telefonici o pervenuti in modalità differenti da quelle indicate.</w:t>
      </w:r>
    </w:p>
    <w:p w14:paraId="26B419C0"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664C9F02" w14:textId="77777777" w:rsidR="00AE55CA" w:rsidRDefault="003B1F75">
      <w:pPr>
        <w:pStyle w:val="Titolo2"/>
        <w:numPr>
          <w:ilvl w:val="1"/>
          <w:numId w:val="5"/>
        </w:numPr>
        <w:tabs>
          <w:tab w:val="left" w:pos="567"/>
          <w:tab w:val="left" w:pos="709"/>
        </w:tabs>
        <w:ind w:left="0" w:firstLine="0"/>
        <w:rPr>
          <w:rFonts w:ascii="Arial" w:eastAsiaTheme="minorEastAsia" w:hAnsi="Arial" w:cs="Arial"/>
          <w:lang w:eastAsia="it-IT"/>
        </w:rPr>
      </w:pPr>
      <w:bookmarkStart w:id="22" w:name="_Toc127539099"/>
      <w:r>
        <w:rPr>
          <w:rFonts w:ascii="Arial" w:eastAsiaTheme="minorEastAsia" w:hAnsi="Arial" w:cs="Arial"/>
          <w:lang w:eastAsia="it-IT"/>
        </w:rPr>
        <w:t>Comunicazioni</w:t>
      </w:r>
      <w:bookmarkEnd w:id="22"/>
    </w:p>
    <w:p w14:paraId="247CFBC6" w14:textId="77777777" w:rsidR="00AE55CA" w:rsidRDefault="00AE55CA">
      <w:pPr>
        <w:contextualSpacing/>
        <w:rPr>
          <w:rFonts w:ascii="Arial" w:hAnsi="Arial" w:cs="Arial"/>
          <w:sz w:val="20"/>
          <w:szCs w:val="20"/>
          <w:lang w:eastAsia="it-IT"/>
        </w:rPr>
      </w:pPr>
    </w:p>
    <w:p w14:paraId="69D3B1EB"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hAnsi="Arial" w:cs="Arial"/>
          <w:sz w:val="20"/>
          <w:szCs w:val="20"/>
        </w:rPr>
        <w:t xml:space="preserve">Tutte le comunicazioni e gli scambi di informazioni di cui alla presente procedura sono eseguiti utilizzando mezzi di comunicazione elettronici. </w:t>
      </w:r>
    </w:p>
    <w:p w14:paraId="795D8026"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Le comunicazioni tra stazione appaltante e operatori economici avvengono tramite la piattaforma del Sistema e sono accessibili nella sezione Comunicazioni. È onere esclusivo dell’operatore economico prenderne visione. </w:t>
      </w:r>
    </w:p>
    <w:p w14:paraId="130A34B5"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 xml:space="preserve">Le comunicazioni relative: a) all'aggiudicazione; b) all'esclusione; c) alla decisione di non aggiudicare l’appalto; d) alla data di avvenuta stipulazione del contratto con l'aggiudicatario; e) all’attivazione del soccorso istruttorio; f) al subprocedimento di verifica dell’anomalia dell’offerta anomala; g) alla richiesta di offerta migliorativa; h) al sorteggio di cui all’articolo 16, avvengono utilizzando il domicilio digitale presente negli indici di cui agli articoli 6-bis e 6-ter del decreto legislativo n. 82/05 o, per gli operatori economici transfrontalieri, attraverso un indirizzo di servizio elettronico di recapito certificato qualificato ai sensi del Regolamento </w:t>
      </w:r>
      <w:proofErr w:type="spellStart"/>
      <w:r>
        <w:rPr>
          <w:rFonts w:ascii="Arial" w:hAnsi="Arial" w:cs="Arial"/>
          <w:sz w:val="20"/>
          <w:szCs w:val="20"/>
        </w:rPr>
        <w:t>eIDAS</w:t>
      </w:r>
      <w:proofErr w:type="spellEnd"/>
      <w:r>
        <w:rPr>
          <w:rFonts w:ascii="Arial" w:hAnsi="Arial" w:cs="Arial"/>
          <w:sz w:val="20"/>
          <w:szCs w:val="20"/>
        </w:rPr>
        <w:t xml:space="preserve">. Se l’operatore economico non è presente nei predetti indici, elegge domicilio digitale speciale presso la stessa Piattaforma e le comunicazioni di cui sopra sono effettuate utilizzando tale domicilio digitale. </w:t>
      </w:r>
    </w:p>
    <w:p w14:paraId="0994C3D2" w14:textId="77777777" w:rsidR="00AE55CA" w:rsidRDefault="003B1F75">
      <w:pPr>
        <w:tabs>
          <w:tab w:val="left" w:pos="567"/>
          <w:tab w:val="left" w:pos="709"/>
        </w:tabs>
        <w:contextualSpacing/>
        <w:jc w:val="both"/>
        <w:rPr>
          <w:rFonts w:ascii="Arial" w:hAnsi="Arial" w:cs="Arial"/>
          <w:sz w:val="20"/>
          <w:szCs w:val="20"/>
        </w:rPr>
      </w:pPr>
      <w:r>
        <w:rPr>
          <w:rFonts w:ascii="Arial" w:hAnsi="Arial" w:cs="Arial"/>
          <w:sz w:val="20"/>
          <w:szCs w:val="20"/>
        </w:rPr>
        <w:t>Eventuali modifiche dell’indirizzo PEC/posta elettronica o problemi temporanei nell’utilizzo delle forme di comunicazione prima indicate, dovranno essere tempestivamente segnalate all’Amministrazione; diversamente la medesima declina ogni responsabilità per il tardivo o mancato recapito delle comunicazioni.</w:t>
      </w:r>
    </w:p>
    <w:p w14:paraId="2B290E61" w14:textId="77777777" w:rsidR="00AE55CA" w:rsidRDefault="00AE55CA">
      <w:pPr>
        <w:tabs>
          <w:tab w:val="left" w:pos="567"/>
          <w:tab w:val="left" w:pos="709"/>
        </w:tabs>
        <w:contextualSpacing/>
        <w:jc w:val="both"/>
        <w:rPr>
          <w:rFonts w:ascii="Arial" w:eastAsiaTheme="minorEastAsia" w:hAnsi="Arial" w:cs="Arial"/>
          <w:sz w:val="20"/>
          <w:szCs w:val="20"/>
          <w:highlight w:val="green"/>
          <w:lang w:eastAsia="it-IT"/>
        </w:rPr>
      </w:pPr>
    </w:p>
    <w:p w14:paraId="611976D4" w14:textId="77777777" w:rsidR="00AE55CA" w:rsidRDefault="003B1F75">
      <w:pPr>
        <w:pStyle w:val="Titolo1"/>
        <w:rPr>
          <w:rFonts w:ascii="Arial" w:eastAsiaTheme="minorEastAsia" w:hAnsi="Arial" w:cs="Arial"/>
          <w:lang w:eastAsia="it-IT"/>
        </w:rPr>
      </w:pPr>
      <w:bookmarkStart w:id="23" w:name="_Toc127539100"/>
      <w:bookmarkStart w:id="24" w:name="_Toc121120688"/>
      <w:bookmarkStart w:id="25" w:name="_Ref536615091"/>
      <w:bookmarkStart w:id="26" w:name="_Ref536615123"/>
      <w:r>
        <w:rPr>
          <w:rFonts w:ascii="Arial" w:eastAsiaTheme="minorEastAsia" w:hAnsi="Arial" w:cs="Arial"/>
          <w:lang w:eastAsia="it-IT"/>
        </w:rPr>
        <w:t>ONERI ED OBBLIGHI DELL’AGGIUDICATARIO</w:t>
      </w:r>
      <w:bookmarkEnd w:id="23"/>
      <w:bookmarkEnd w:id="24"/>
      <w:bookmarkEnd w:id="25"/>
      <w:bookmarkEnd w:id="26"/>
      <w:r>
        <w:rPr>
          <w:rFonts w:ascii="Arial" w:eastAsiaTheme="minorEastAsia" w:hAnsi="Arial" w:cs="Arial"/>
          <w:lang w:eastAsia="it-IT"/>
        </w:rPr>
        <w:t xml:space="preserve"> </w:t>
      </w:r>
    </w:p>
    <w:p w14:paraId="28F089D2"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2EE3F8DC" w14:textId="77777777" w:rsidR="00AE55CA" w:rsidRDefault="003B1F75">
      <w:pPr>
        <w:tabs>
          <w:tab w:val="left" w:pos="284"/>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w:t>
      </w:r>
    </w:p>
    <w:p w14:paraId="7ACED2E8"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Si impegna ad eseguire le prestazioni oggetto del presente contratto, senza alcun onere aggiuntivo, salvaguardando le esigenze della Stazione appaltante e di terzi autorizzati, senza recare intralci, disturbi o interruzioni all’attività lavorativa in atto. </w:t>
      </w:r>
    </w:p>
    <w:p w14:paraId="6B7DF6F4"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Rinuncia a qualsiasi pretesa o richiesta di compenso nel caso in cui lo svolgimento delle prestazioni contrattuali dovesse essere ostacolato o reso più oneroso dalle attività svolte dalla Stazione appaltante e/o da terzi. </w:t>
      </w:r>
    </w:p>
    <w:p w14:paraId="5A77E567"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È direttamente responsabile dell’inosservanza delle clausole contrattuali anche se questa dovesse derivare dall’attività del personale dipendente di altre imprese a diverso titolo coinvolto. </w:t>
      </w:r>
    </w:p>
    <w:p w14:paraId="44A87683"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lastRenderedPageBreak/>
        <w:t xml:space="preserve">Deve avvalersi di personale qualificato in regola con gli obblighi previsti dai contratti collettivi di lavoro e da tutte le normative vigenti, in particolare in materia previdenziale, fiscale, di igiene ed in materia di sicurezza sul lavoro. </w:t>
      </w:r>
    </w:p>
    <w:p w14:paraId="0DD74E1E"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altro dovesse accadere al personale di cui si avvarrà l’Aggiudicatario nell’esecuzione del contratto. A tale scopo, a copertura dei rischi di Responsabilità civile verso terzi, l’Aggiudicatario è tenuto ad esibire idonea polizza assicurativa e a fornire numero di polizza e denominazione compagnia assicurativa, prima della stipula del contratto.</w:t>
      </w:r>
    </w:p>
    <w:p w14:paraId="17DC962A" w14:textId="77777777" w:rsidR="00AE55CA" w:rsidRDefault="003B1F75">
      <w:pPr>
        <w:numPr>
          <w:ilvl w:val="0"/>
          <w:numId w:val="7"/>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Si fa carico, intendendosi remunerati con il corrispettivo contrattuale, tutti gli oneri e i rischi relativi alle attività e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047984C1"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44E69C22" w14:textId="77777777" w:rsidR="00AE55CA" w:rsidRDefault="003B1F75">
      <w:pPr>
        <w:tabs>
          <w:tab w:val="left" w:pos="284"/>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L’aggiudicatario è obbligato:</w:t>
      </w:r>
    </w:p>
    <w:p w14:paraId="5E008AC8" w14:textId="77777777" w:rsidR="00AE55CA" w:rsidRDefault="003B1F75">
      <w:pPr>
        <w:numPr>
          <w:ilvl w:val="0"/>
          <w:numId w:val="8"/>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Ad eseguire le prestazioni oggetto del presente contratto a perfetta regola d’arte e nel rispetto di tutte le norme e le prescrizioni tecniche e di sicurezza in vigore e di quelle che dovessero essere emanate nel corso del presente contratto, nonché secondo le condizioni, le modalità, i termini e le prescrizioni contenute nel presente contratto e nei suoi allegati;</w:t>
      </w:r>
    </w:p>
    <w:p w14:paraId="55D910F8" w14:textId="77777777" w:rsidR="00AE55CA" w:rsidRDefault="003B1F75">
      <w:pPr>
        <w:numPr>
          <w:ilvl w:val="0"/>
          <w:numId w:val="8"/>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A comunicare le generalità del personale addetto e munirlo di apposito distintivo di riconoscimento applicato sulla divisa da lavoro;</w:t>
      </w:r>
    </w:p>
    <w:p w14:paraId="036CCCAB" w14:textId="77777777" w:rsidR="00AE55CA" w:rsidRDefault="003B1F75">
      <w:pPr>
        <w:numPr>
          <w:ilvl w:val="0"/>
          <w:numId w:val="8"/>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A rilasciare, inclusi nel prezzo, le schede, le note tecniche, i dépliant illustrativi della fornitura, i manuali di istruzione redatti in lingua italiana e/o in lingua inglese, in formato cartaceo ed elettronico, anche ai fini della tutela della salute e della sicurezza nei luoghi di lavoro, e le schede di manutenzione ordinaria e straordinaria, se applicabili. Inoltre si obbliga ad aggiornare, ove necessario, i manuali e la documentazione per l’intero periodo di garanzia.</w:t>
      </w:r>
    </w:p>
    <w:p w14:paraId="7FF47609"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60614721" w14:textId="77777777" w:rsidR="00AE55CA" w:rsidRDefault="003B1F75">
      <w:pPr>
        <w:pStyle w:val="Titolo1"/>
        <w:rPr>
          <w:rFonts w:ascii="Arial" w:eastAsiaTheme="minorEastAsia" w:hAnsi="Arial" w:cs="Arial"/>
          <w:lang w:eastAsia="it-IT"/>
        </w:rPr>
      </w:pPr>
      <w:bookmarkStart w:id="27" w:name="_Toc127539101"/>
      <w:bookmarkStart w:id="28" w:name="_Toc121120689"/>
      <w:bookmarkStart w:id="29" w:name="_Ref536615142"/>
      <w:r>
        <w:rPr>
          <w:rFonts w:ascii="Arial" w:eastAsiaTheme="minorEastAsia" w:hAnsi="Arial" w:cs="Arial"/>
          <w:lang w:eastAsia="it-IT"/>
        </w:rPr>
        <w:t>SICUREZZA SUL LAVORO</w:t>
      </w:r>
      <w:bookmarkEnd w:id="27"/>
      <w:bookmarkEnd w:id="28"/>
      <w:bookmarkEnd w:id="29"/>
      <w:r>
        <w:rPr>
          <w:rFonts w:ascii="Arial" w:eastAsiaTheme="minorEastAsia" w:hAnsi="Arial" w:cs="Arial"/>
          <w:lang w:eastAsia="it-IT"/>
        </w:rPr>
        <w:t xml:space="preserve"> </w:t>
      </w:r>
    </w:p>
    <w:p w14:paraId="0EF2B39A" w14:textId="77777777" w:rsidR="00AE55CA" w:rsidRDefault="00AE55CA">
      <w:pPr>
        <w:contextualSpacing/>
        <w:rPr>
          <w:rFonts w:ascii="Arial" w:hAnsi="Arial" w:cs="Arial"/>
          <w:sz w:val="20"/>
          <w:szCs w:val="20"/>
          <w:lang w:eastAsia="it-IT"/>
        </w:rPr>
      </w:pPr>
    </w:p>
    <w:p w14:paraId="0FE0E308" w14:textId="77777777" w:rsidR="00AE55CA" w:rsidRDefault="003B1F75">
      <w:pPr>
        <w:numPr>
          <w:ilvl w:val="1"/>
          <w:numId w:val="4"/>
        </w:numPr>
        <w:tabs>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si assume la responsabilità per gli infortuni del personale addetto, che dovrà essere opportunamente addestrato ed istruito. </w:t>
      </w:r>
    </w:p>
    <w:p w14:paraId="59F41B9A" w14:textId="362AE0EB" w:rsidR="00AE55CA" w:rsidRPr="00B1530E" w:rsidRDefault="003B1F75" w:rsidP="00B1530E">
      <w:pPr>
        <w:numPr>
          <w:ilvl w:val="1"/>
          <w:numId w:val="4"/>
        </w:numPr>
        <w:tabs>
          <w:tab w:val="left" w:pos="567"/>
          <w:tab w:val="left" w:pos="709"/>
        </w:tabs>
        <w:ind w:left="0" w:firstLine="0"/>
        <w:contextualSpacing/>
        <w:jc w:val="both"/>
        <w:rPr>
          <w:rFonts w:ascii="Arial" w:eastAsiaTheme="minorEastAsia" w:hAnsi="Arial" w:cs="Arial"/>
          <w:sz w:val="20"/>
          <w:szCs w:val="20"/>
          <w:lang w:eastAsia="it-IT"/>
        </w:rPr>
      </w:pPr>
      <w:r w:rsidRPr="00B1530E">
        <w:rPr>
          <w:rFonts w:ascii="Arial" w:eastAsiaTheme="minorEastAsia" w:hAnsi="Arial" w:cs="Arial"/>
          <w:sz w:val="20"/>
          <w:szCs w:val="20"/>
          <w:lang w:eastAsia="it-IT"/>
        </w:rPr>
        <w:t xml:space="preserve">La valutazione dei rischi propri dell’Aggiudicatario nello svolgimento della propria attività professionale resta a carico dello stesso, così come la redazione dei relativi documenti e la informazione/formazione dei propri dipendenti. </w:t>
      </w:r>
      <w:r w:rsidR="00B1530E">
        <w:rPr>
          <w:rFonts w:ascii="Arial" w:eastAsiaTheme="minorEastAsia" w:hAnsi="Arial" w:cs="Arial"/>
          <w:sz w:val="20"/>
          <w:szCs w:val="20"/>
          <w:lang w:eastAsia="it-IT"/>
        </w:rPr>
        <w:t xml:space="preserve"> </w:t>
      </w:r>
      <w:r w:rsidRPr="00B1530E">
        <w:rPr>
          <w:rFonts w:ascii="Arial" w:eastAsiaTheme="minorEastAsia" w:hAnsi="Arial" w:cs="Arial"/>
          <w:sz w:val="20"/>
          <w:szCs w:val="20"/>
          <w:lang w:eastAsia="it-IT"/>
        </w:rPr>
        <w:t>L'Aggiudicatario è tenuto a garantire il rispetto di tutte le normative riguardanti l’igiene e la sicurezza sul lavoro con particolare riferimento alle attività che si espleteranno presso l’Amministrazione.</w:t>
      </w:r>
    </w:p>
    <w:p w14:paraId="04D3CB79" w14:textId="77777777" w:rsidR="00AE55CA" w:rsidRDefault="003B1F75">
      <w:pPr>
        <w:numPr>
          <w:ilvl w:val="1"/>
          <w:numId w:val="4"/>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In relazione alle risorse umane impegnate nelle attività oggetto del presente contratto, l’Aggiudicatario è tenuto a far fronte ad ogni obbligo previsto dalla normativa vigente in ordine agli adempimenti fiscali, tributari, previdenziali ed assicurativi riferibili al personale dipendente ed ai collaboratori. </w:t>
      </w:r>
    </w:p>
    <w:p w14:paraId="4C31A358" w14:textId="77777777" w:rsidR="00AE55CA" w:rsidRDefault="003B1F75">
      <w:pPr>
        <w:numPr>
          <w:ilvl w:val="1"/>
          <w:numId w:val="4"/>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Per quanto riguarda i lavoratori dipendenti, l’Aggiudicatario è tenuto ad osservare gli obblighi retributivi e previdenziali previsti dai corrispondenti CCNL di categoria, compresi, se esistenti alla stipulazione del contratto, gli eventuali accordi integrativi territoriali. </w:t>
      </w:r>
    </w:p>
    <w:p w14:paraId="27543E43" w14:textId="77777777" w:rsidR="00AE55CA" w:rsidRDefault="003B1F75">
      <w:pPr>
        <w:numPr>
          <w:ilvl w:val="1"/>
          <w:numId w:val="4"/>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14:paraId="65E55B44"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2AEB321F" w14:textId="77777777" w:rsidR="00AE55CA" w:rsidRDefault="003B1F75">
      <w:pPr>
        <w:pStyle w:val="Titolo1"/>
        <w:rPr>
          <w:rFonts w:ascii="Arial" w:eastAsiaTheme="minorEastAsia" w:hAnsi="Arial" w:cs="Arial"/>
          <w:lang w:eastAsia="it-IT"/>
        </w:rPr>
      </w:pPr>
      <w:bookmarkStart w:id="30" w:name="_Toc127539102"/>
      <w:bookmarkStart w:id="31" w:name="_Toc121120690"/>
      <w:bookmarkStart w:id="32" w:name="_Ref536615158"/>
      <w:r>
        <w:rPr>
          <w:rFonts w:ascii="Arial" w:eastAsiaTheme="minorEastAsia" w:hAnsi="Arial" w:cs="Arial"/>
          <w:lang w:eastAsia="it-IT"/>
        </w:rPr>
        <w:t>SUBAPPALTO E DIVIETO DI CESSIONE DEL CONTRATTO</w:t>
      </w:r>
      <w:bookmarkEnd w:id="30"/>
      <w:bookmarkEnd w:id="31"/>
      <w:bookmarkEnd w:id="32"/>
      <w:r>
        <w:rPr>
          <w:rFonts w:ascii="Arial" w:eastAsiaTheme="minorEastAsia" w:hAnsi="Arial" w:cs="Arial"/>
          <w:lang w:eastAsia="it-IT"/>
        </w:rPr>
        <w:t xml:space="preserve"> </w:t>
      </w:r>
    </w:p>
    <w:p w14:paraId="1BEE90C0" w14:textId="77777777" w:rsidR="00AE55CA" w:rsidRDefault="00AE55CA">
      <w:pPr>
        <w:contextualSpacing/>
        <w:rPr>
          <w:rFonts w:ascii="Arial" w:hAnsi="Arial" w:cs="Arial"/>
          <w:sz w:val="20"/>
          <w:szCs w:val="20"/>
          <w:lang w:eastAsia="it-IT"/>
        </w:rPr>
      </w:pPr>
    </w:p>
    <w:p w14:paraId="2A33E626" w14:textId="77777777" w:rsidR="00AE55CA" w:rsidRDefault="003B1F75">
      <w:pPr>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Il subappalto è ammesso nei limiti indicati dall’art. 49, comma 1, lettera b), sub. 2) del D. L. 77/2021, purché l’operatore economico abbia debitamente compilato la parte D della sezione del DGUE preposta. Non può essere affidata in subappalto l’integrale esecuzione del contratto.</w:t>
      </w:r>
    </w:p>
    <w:p w14:paraId="241115D3" w14:textId="77777777" w:rsidR="00AE55CA" w:rsidRDefault="003B1F75">
      <w:pPr>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L’aggiudicatario e il subappaltatore sono responsabili in solido nei confronti della stazione appaltante dell’esecuzione delle prestazioni oggetto del contratto di subappalto.</w:t>
      </w:r>
    </w:p>
    <w:p w14:paraId="3E7F0736" w14:textId="77777777" w:rsidR="00AE55CA" w:rsidRDefault="003B1F75">
      <w:pPr>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É fatto divieto all’Aggiudicatario di cedere, a qualsiasi titolo, il Contratto, a pena di nullità della cessione stessa, così come indicato dall’art. 49, comma 1, lett. B), sub. 1) del D.L. 77/2021 (fatto salvo quanto previsto dall’art. </w:t>
      </w:r>
      <w:r>
        <w:rPr>
          <w:rFonts w:ascii="Arial" w:eastAsiaTheme="minorEastAsia" w:hAnsi="Arial" w:cs="Arial"/>
          <w:sz w:val="20"/>
          <w:szCs w:val="20"/>
          <w:lang w:eastAsia="it-IT"/>
        </w:rPr>
        <w:lastRenderedPageBreak/>
        <w:t>106, comma 1, lett. d) del Codice 50/2016), non può essere affidata a terzi l’integrale esecuzione delle prestazioni o lavorazioni oggetto del contratto di appalto, nonché la prevalente esecuzione delle lavorazioni relative al complesso delle categorie prevalenti e dei contratti ad alta intensità di manodopera.</w:t>
      </w:r>
    </w:p>
    <w:p w14:paraId="2A446801" w14:textId="77777777" w:rsidR="00AE55CA" w:rsidRDefault="003B1F75">
      <w:pPr>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è tenuto a comunicare tempestivamente alla Stazione Appaltante ogni modificazione intervenuta negli assetti proprietari e nella struttura organizzativa. </w:t>
      </w:r>
    </w:p>
    <w:p w14:paraId="1D56A97C" w14:textId="77777777" w:rsidR="00AE55CA" w:rsidRDefault="003B1F75">
      <w:pPr>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In caso di inadempimento da parte dell’Aggiudicatario degli obblighi di cui al presente articolo, la Stazione Appaltante, fermo restando il diritto al risarcimento del danno, ha facoltà di risolvere di diritto il Contratto.</w:t>
      </w:r>
    </w:p>
    <w:p w14:paraId="20B0B997" w14:textId="77777777" w:rsidR="00AE55CA" w:rsidRDefault="00AE55CA">
      <w:pPr>
        <w:contextualSpacing/>
        <w:rPr>
          <w:rFonts w:ascii="Arial" w:hAnsi="Arial" w:cs="Arial"/>
          <w:sz w:val="20"/>
          <w:szCs w:val="20"/>
          <w:lang w:eastAsia="it-IT"/>
        </w:rPr>
      </w:pPr>
    </w:p>
    <w:p w14:paraId="36CC8A88" w14:textId="77777777" w:rsidR="00AE55CA" w:rsidRDefault="003B1F75">
      <w:pPr>
        <w:pStyle w:val="Titolo1"/>
        <w:rPr>
          <w:rFonts w:ascii="Arial" w:eastAsiaTheme="minorEastAsia" w:hAnsi="Arial" w:cs="Arial"/>
          <w:lang w:eastAsia="it-IT"/>
        </w:rPr>
      </w:pPr>
      <w:bookmarkStart w:id="33" w:name="_Toc127539103"/>
      <w:bookmarkStart w:id="34" w:name="_Toc121120691"/>
      <w:r>
        <w:rPr>
          <w:rFonts w:ascii="Arial" w:eastAsiaTheme="minorEastAsia" w:hAnsi="Arial" w:cs="Arial"/>
          <w:lang w:eastAsia="it-IT"/>
        </w:rPr>
        <w:t>MODALITA’ DI PRESENTAZIONE DELL’OFFERTA</w:t>
      </w:r>
      <w:bookmarkEnd w:id="33"/>
      <w:bookmarkEnd w:id="34"/>
    </w:p>
    <w:p w14:paraId="5FEB517B" w14:textId="77777777" w:rsidR="00AE55CA" w:rsidRDefault="00AE55CA">
      <w:pPr>
        <w:rPr>
          <w:rFonts w:ascii="Arial" w:hAnsi="Arial" w:cs="Arial"/>
          <w:sz w:val="20"/>
          <w:szCs w:val="20"/>
          <w:lang w:eastAsia="it-IT"/>
        </w:rPr>
      </w:pPr>
    </w:p>
    <w:p w14:paraId="0C515608" w14:textId="77777777" w:rsidR="00A01071" w:rsidRPr="00A72355" w:rsidRDefault="00A01071" w:rsidP="00A01071">
      <w:pPr>
        <w:tabs>
          <w:tab w:val="left" w:pos="284"/>
          <w:tab w:val="left" w:pos="567"/>
          <w:tab w:val="left" w:pos="709"/>
        </w:tabs>
        <w:contextualSpacing/>
        <w:jc w:val="both"/>
        <w:rPr>
          <w:rFonts w:ascii="Arial" w:eastAsia="Calibri" w:hAnsi="Arial" w:cs="Arial"/>
          <w:b/>
          <w:bCs/>
          <w:sz w:val="20"/>
          <w:szCs w:val="20"/>
          <w:u w:val="single"/>
        </w:rPr>
      </w:pPr>
      <w:r w:rsidRPr="00A72355">
        <w:rPr>
          <w:rFonts w:ascii="Arial" w:eastAsiaTheme="minorEastAsia" w:hAnsi="Arial" w:cs="Arial"/>
          <w:sz w:val="20"/>
          <w:szCs w:val="20"/>
          <w:lang w:eastAsia="it-IT"/>
        </w:rPr>
        <w:t xml:space="preserve">L’offerta dovrà essere presentata tramite la piattaforma del Sistema </w:t>
      </w:r>
      <w:r w:rsidRPr="00A72355">
        <w:rPr>
          <w:rFonts w:ascii="Arial" w:eastAsiaTheme="minorEastAsia" w:hAnsi="Arial" w:cs="Arial"/>
          <w:b/>
          <w:bCs/>
          <w:sz w:val="20"/>
          <w:szCs w:val="20"/>
          <w:u w:val="single"/>
          <w:lang w:eastAsia="it-IT"/>
        </w:rPr>
        <w:t xml:space="preserve">entro il termine perentorio </w:t>
      </w:r>
      <w:r w:rsidRPr="00A72355">
        <w:rPr>
          <w:rFonts w:ascii="Arial" w:eastAsiaTheme="minorEastAsia" w:hAnsi="Arial" w:cs="Arial"/>
          <w:b/>
          <w:bCs/>
          <w:sz w:val="20"/>
          <w:szCs w:val="20"/>
          <w:highlight w:val="yellow"/>
          <w:u w:val="single"/>
          <w:lang w:eastAsia="it-IT"/>
        </w:rPr>
        <w:t xml:space="preserve">delle </w:t>
      </w:r>
      <w:r>
        <w:rPr>
          <w:rFonts w:ascii="Arial" w:eastAsiaTheme="minorEastAsia" w:hAnsi="Arial" w:cs="Arial"/>
          <w:b/>
          <w:bCs/>
          <w:sz w:val="20"/>
          <w:szCs w:val="20"/>
          <w:highlight w:val="yellow"/>
          <w:u w:val="single"/>
          <w:lang w:eastAsia="it-IT"/>
        </w:rPr>
        <w:t>ore</w:t>
      </w:r>
      <w:r w:rsidRPr="00A72355">
        <w:rPr>
          <w:rFonts w:ascii="Arial" w:eastAsiaTheme="minorEastAsia" w:hAnsi="Arial" w:cs="Arial"/>
          <w:b/>
          <w:bCs/>
          <w:sz w:val="20"/>
          <w:szCs w:val="20"/>
          <w:highlight w:val="yellow"/>
          <w:u w:val="single"/>
          <w:lang w:eastAsia="it-IT"/>
        </w:rPr>
        <w:t>_</w:t>
      </w:r>
      <w:r>
        <w:rPr>
          <w:rFonts w:ascii="Arial" w:eastAsiaTheme="minorEastAsia" w:hAnsi="Arial" w:cs="Arial"/>
          <w:b/>
          <w:bCs/>
          <w:sz w:val="20"/>
          <w:szCs w:val="20"/>
          <w:highlight w:val="yellow"/>
          <w:u w:val="single"/>
          <w:lang w:eastAsia="it-IT"/>
        </w:rPr>
        <w:t>23:59</w:t>
      </w:r>
      <w:r w:rsidRPr="00A72355">
        <w:rPr>
          <w:rFonts w:ascii="Arial" w:eastAsiaTheme="minorEastAsia" w:hAnsi="Arial" w:cs="Arial"/>
          <w:b/>
          <w:bCs/>
          <w:sz w:val="20"/>
          <w:szCs w:val="20"/>
          <w:highlight w:val="yellow"/>
          <w:u w:val="single"/>
          <w:lang w:eastAsia="it-IT"/>
        </w:rPr>
        <w:t>___</w:t>
      </w:r>
      <w:r w:rsidRPr="00A72355">
        <w:rPr>
          <w:rFonts w:ascii="Arial" w:eastAsiaTheme="minorEastAsia" w:hAnsi="Arial" w:cs="Arial"/>
          <w:b/>
          <w:bCs/>
          <w:sz w:val="20"/>
          <w:szCs w:val="20"/>
          <w:u w:val="single"/>
          <w:lang w:eastAsia="it-IT"/>
        </w:rPr>
        <w:t xml:space="preserve"> del </w:t>
      </w:r>
      <w:r w:rsidRPr="00A72355">
        <w:rPr>
          <w:rFonts w:ascii="Arial" w:eastAsiaTheme="minorEastAsia" w:hAnsi="Arial" w:cs="Arial"/>
          <w:b/>
          <w:bCs/>
          <w:sz w:val="20"/>
          <w:szCs w:val="20"/>
          <w:highlight w:val="yellow"/>
          <w:u w:val="single"/>
          <w:lang w:eastAsia="it-IT"/>
        </w:rPr>
        <w:t xml:space="preserve">giorno </w:t>
      </w:r>
      <w:r w:rsidRPr="00A72355">
        <w:rPr>
          <w:rFonts w:ascii="Arial" w:eastAsia="Calibri" w:hAnsi="Arial" w:cs="Arial"/>
          <w:b/>
          <w:bCs/>
          <w:sz w:val="20"/>
          <w:szCs w:val="20"/>
          <w:highlight w:val="yellow"/>
          <w:u w:val="single"/>
        </w:rPr>
        <w:t>__________________</w:t>
      </w:r>
    </w:p>
    <w:p w14:paraId="154A5582" w14:textId="77777777" w:rsidR="00AE55CA" w:rsidRDefault="00AE55CA">
      <w:pPr>
        <w:tabs>
          <w:tab w:val="left" w:pos="284"/>
          <w:tab w:val="left" w:pos="567"/>
          <w:tab w:val="left" w:pos="709"/>
        </w:tabs>
        <w:contextualSpacing/>
        <w:jc w:val="both"/>
        <w:rPr>
          <w:rFonts w:ascii="Arial" w:eastAsiaTheme="minorEastAsia" w:hAnsi="Arial" w:cs="Arial"/>
          <w:b/>
          <w:bCs/>
          <w:sz w:val="20"/>
          <w:szCs w:val="20"/>
          <w:u w:val="single"/>
          <w:lang w:eastAsia="it-IT"/>
        </w:rPr>
      </w:pPr>
    </w:p>
    <w:p w14:paraId="5FBF15FF" w14:textId="77777777" w:rsidR="00AE55CA" w:rsidRDefault="003B1F75">
      <w:pPr>
        <w:tabs>
          <w:tab w:val="left" w:pos="284"/>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La busta virtuale contenente l’offerta dovrà comprendere la seguente documentazione:</w:t>
      </w:r>
    </w:p>
    <w:p w14:paraId="40BBB333"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7BD68404"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Documento di Gara Unico Europeo – DGUE;</w:t>
      </w:r>
    </w:p>
    <w:p w14:paraId="6F937B25"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Dichiarazione integrativa al DGUE;</w:t>
      </w:r>
    </w:p>
    <w:p w14:paraId="07E837A6"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proofErr w:type="spellStart"/>
      <w:r>
        <w:rPr>
          <w:rFonts w:ascii="Arial" w:eastAsiaTheme="minorEastAsia" w:hAnsi="Arial" w:cs="Arial"/>
          <w:sz w:val="20"/>
          <w:szCs w:val="20"/>
          <w:lang w:eastAsia="it-IT"/>
        </w:rPr>
        <w:t>PassOE</w:t>
      </w:r>
      <w:proofErr w:type="spellEnd"/>
      <w:r>
        <w:rPr>
          <w:rFonts w:ascii="Arial" w:eastAsiaTheme="minorEastAsia" w:hAnsi="Arial" w:cs="Arial"/>
          <w:sz w:val="20"/>
          <w:szCs w:val="20"/>
          <w:lang w:eastAsia="it-IT"/>
        </w:rPr>
        <w:t>;</w:t>
      </w:r>
    </w:p>
    <w:p w14:paraId="72ABA2DC"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Relazione tecnica descrittiva della fornitura offerta, in formato libero; </w:t>
      </w:r>
    </w:p>
    <w:p w14:paraId="3D93BDAB"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Offerta economica generata dal Sistema;</w:t>
      </w:r>
    </w:p>
    <w:p w14:paraId="67E02AC0"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Dichiarazione obblighi </w:t>
      </w:r>
      <w:proofErr w:type="spellStart"/>
      <w:r>
        <w:rPr>
          <w:rFonts w:ascii="Arial" w:eastAsiaTheme="minorEastAsia" w:hAnsi="Arial" w:cs="Arial"/>
          <w:sz w:val="20"/>
          <w:szCs w:val="20"/>
          <w:lang w:eastAsia="it-IT"/>
        </w:rPr>
        <w:t>assunzionali</w:t>
      </w:r>
      <w:proofErr w:type="spellEnd"/>
      <w:r>
        <w:rPr>
          <w:rFonts w:ascii="Arial" w:eastAsiaTheme="minorEastAsia" w:hAnsi="Arial" w:cs="Arial"/>
          <w:sz w:val="20"/>
          <w:szCs w:val="20"/>
          <w:lang w:eastAsia="it-IT"/>
        </w:rPr>
        <w:t>;</w:t>
      </w:r>
    </w:p>
    <w:p w14:paraId="1DD4FB97"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Dichiarazione titolare effettivo;</w:t>
      </w:r>
    </w:p>
    <w:p w14:paraId="0EC4A2A8"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Dichiarazioni DNSH – Scheda;</w:t>
      </w:r>
      <w:r>
        <w:rPr>
          <w:rFonts w:ascii="Arial" w:eastAsiaTheme="minorEastAsia" w:hAnsi="Arial" w:cs="Arial"/>
          <w:sz w:val="20"/>
          <w:szCs w:val="20"/>
          <w:highlight w:val="magenta"/>
          <w:lang w:eastAsia="it-IT"/>
        </w:rPr>
        <w:t xml:space="preserve"> </w:t>
      </w:r>
    </w:p>
    <w:p w14:paraId="35FF995D" w14:textId="69BE5DA9" w:rsidR="00D033C4" w:rsidRPr="00D033C4" w:rsidRDefault="00D033C4" w:rsidP="00D033C4">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sidRPr="00D033C4">
        <w:rPr>
          <w:rFonts w:ascii="Arial" w:eastAsiaTheme="minorEastAsia" w:hAnsi="Arial" w:cs="Arial"/>
          <w:sz w:val="20"/>
          <w:szCs w:val="20"/>
          <w:lang w:eastAsia="it-IT"/>
        </w:rPr>
        <w:t>Dichiarazione assenza conflitto di interessi titolare effettivo</w:t>
      </w:r>
    </w:p>
    <w:p w14:paraId="28A0AF7F" w14:textId="716BB9DD" w:rsidR="00AE55CA" w:rsidRDefault="00D033C4">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C</w:t>
      </w:r>
      <w:r w:rsidR="003B1F75">
        <w:rPr>
          <w:rFonts w:ascii="Arial" w:eastAsiaTheme="minorEastAsia" w:hAnsi="Arial" w:cs="Arial"/>
          <w:sz w:val="20"/>
          <w:szCs w:val="20"/>
          <w:lang w:eastAsia="it-IT"/>
        </w:rPr>
        <w:t>opia informatica di avvenuto pagamento contributo ANAC;</w:t>
      </w:r>
    </w:p>
    <w:p w14:paraId="377951E9" w14:textId="77777777" w:rsidR="00AE55CA" w:rsidRPr="00442936"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sidRPr="00442936">
        <w:rPr>
          <w:rFonts w:ascii="Arial" w:eastAsiaTheme="minorEastAsia" w:hAnsi="Arial" w:cs="Arial"/>
          <w:sz w:val="20"/>
          <w:szCs w:val="20"/>
          <w:lang w:eastAsia="it-IT"/>
        </w:rPr>
        <w:t>Dichiarazione costi manodopera reso con la compilazione dell’apposito modello;</w:t>
      </w:r>
    </w:p>
    <w:p w14:paraId="44482904" w14:textId="77777777" w:rsidR="00AE55CA" w:rsidRPr="00442936"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sidRPr="00442936">
        <w:rPr>
          <w:rFonts w:ascii="Arial" w:eastAsiaTheme="minorEastAsia" w:hAnsi="Arial" w:cs="Arial"/>
          <w:sz w:val="20"/>
          <w:szCs w:val="20"/>
          <w:lang w:eastAsia="it-IT"/>
        </w:rPr>
        <w:t>DUVRI - Documento Unico di Valutazione dei Rischi Interferenti</w:t>
      </w:r>
    </w:p>
    <w:p w14:paraId="1F5A6256"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Patto d’integrità</w:t>
      </w:r>
    </w:p>
    <w:p w14:paraId="697B3596"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Comunicazione del conto corrente dedicato ai sensi della L. 136/2010;</w:t>
      </w:r>
    </w:p>
    <w:p w14:paraId="36C3AC1C" w14:textId="77777777" w:rsidR="00AE55CA" w:rsidRDefault="003B1F75">
      <w:pPr>
        <w:pStyle w:val="Paragrafoelenco"/>
        <w:numPr>
          <w:ilvl w:val="2"/>
          <w:numId w:val="10"/>
        </w:numPr>
        <w:tabs>
          <w:tab w:val="left" w:pos="426"/>
          <w:tab w:val="left" w:pos="567"/>
          <w:tab w:val="left" w:pos="709"/>
        </w:tabs>
        <w:ind w:left="0" w:firstLine="0"/>
        <w:jc w:val="both"/>
        <w:rPr>
          <w:rFonts w:ascii="Arial" w:eastAsiaTheme="minorEastAsia" w:hAnsi="Arial" w:cs="Arial"/>
          <w:sz w:val="20"/>
          <w:szCs w:val="20"/>
          <w:lang w:eastAsia="it-IT"/>
        </w:rPr>
      </w:pPr>
      <w:r w:rsidRPr="00A01071">
        <w:rPr>
          <w:rFonts w:ascii="Arial" w:eastAsiaTheme="minorEastAsia" w:hAnsi="Arial" w:cs="Arial"/>
          <w:i/>
          <w:iCs/>
          <w:sz w:val="20"/>
          <w:szCs w:val="20"/>
          <w:u w:val="single"/>
          <w:lang w:eastAsia="it-IT"/>
        </w:rPr>
        <w:t>(</w:t>
      </w:r>
      <w:r>
        <w:rPr>
          <w:rFonts w:ascii="Arial" w:eastAsiaTheme="minorEastAsia" w:hAnsi="Arial" w:cs="Arial"/>
          <w:i/>
          <w:iCs/>
          <w:sz w:val="20"/>
          <w:szCs w:val="20"/>
          <w:u w:val="single"/>
          <w:lang w:eastAsia="it-IT"/>
        </w:rPr>
        <w:t>eventuale nel caso di operatori economici stranieri sprovvisti di firma digitale</w:t>
      </w:r>
      <w:r w:rsidRPr="00A01071">
        <w:rPr>
          <w:rFonts w:ascii="Arial" w:eastAsiaTheme="minorEastAsia" w:hAnsi="Arial" w:cs="Arial"/>
          <w:i/>
          <w:iCs/>
          <w:sz w:val="20"/>
          <w:szCs w:val="20"/>
          <w:u w:val="single"/>
          <w:lang w:eastAsia="it-IT"/>
        </w:rPr>
        <w:t>) Copia</w:t>
      </w:r>
      <w:r>
        <w:rPr>
          <w:rFonts w:ascii="Arial" w:eastAsiaTheme="minorEastAsia" w:hAnsi="Arial" w:cs="Arial"/>
          <w:sz w:val="20"/>
          <w:szCs w:val="20"/>
          <w:lang w:eastAsia="it-IT"/>
        </w:rPr>
        <w:t xml:space="preserve"> di un documento di identità del sottoscrittore, in corso di validità;</w:t>
      </w:r>
    </w:p>
    <w:p w14:paraId="1DDE3DD5" w14:textId="77777777" w:rsidR="00D033C4" w:rsidRDefault="00D033C4">
      <w:pPr>
        <w:tabs>
          <w:tab w:val="left" w:pos="567"/>
          <w:tab w:val="left" w:pos="709"/>
        </w:tabs>
        <w:contextualSpacing/>
        <w:jc w:val="both"/>
        <w:rPr>
          <w:rFonts w:ascii="Arial" w:eastAsiaTheme="minorEastAsia" w:hAnsi="Arial" w:cs="Arial"/>
          <w:sz w:val="20"/>
          <w:szCs w:val="20"/>
          <w:lang w:eastAsia="it-IT"/>
        </w:rPr>
      </w:pPr>
    </w:p>
    <w:p w14:paraId="41AD4C60" w14:textId="77777777" w:rsidR="00AE55CA" w:rsidRDefault="003B1F75">
      <w:pPr>
        <w:tabs>
          <w:tab w:val="left" w:pos="284"/>
          <w:tab w:val="left" w:pos="567"/>
          <w:tab w:val="left" w:pos="709"/>
        </w:tabs>
        <w:contextualSpacing/>
        <w:jc w:val="both"/>
        <w:rPr>
          <w:rFonts w:ascii="Arial" w:eastAsiaTheme="minorEastAsia" w:hAnsi="Arial" w:cs="Arial"/>
          <w:sz w:val="20"/>
          <w:szCs w:val="20"/>
          <w:highlight w:val="yellow"/>
          <w:lang w:eastAsia="it-IT"/>
        </w:rPr>
      </w:pPr>
      <w:r>
        <w:rPr>
          <w:rFonts w:ascii="Arial" w:eastAsiaTheme="minorEastAsia" w:hAnsi="Arial" w:cs="Arial"/>
          <w:sz w:val="20"/>
          <w:szCs w:val="20"/>
          <w:lang w:eastAsia="it-IT"/>
        </w:rPr>
        <w:t xml:space="preserve">Tutte le dichiarazioni sostitutive richieste ai fini della partecipazione alla presente procedura di gara: </w:t>
      </w:r>
    </w:p>
    <w:p w14:paraId="3057CBE7" w14:textId="77777777" w:rsidR="00AE55CA" w:rsidRDefault="003B1F75">
      <w:pPr>
        <w:numPr>
          <w:ilvl w:val="0"/>
          <w:numId w:val="3"/>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Devono essere rilasciate ai sensi degli artt. 46 e 47 del DPR 28 dicembre 2000, n. 445 e </w:t>
      </w:r>
      <w:proofErr w:type="spellStart"/>
      <w:r>
        <w:rPr>
          <w:rFonts w:ascii="Arial" w:eastAsiaTheme="minorEastAsia" w:hAnsi="Arial" w:cs="Arial"/>
          <w:sz w:val="20"/>
          <w:szCs w:val="20"/>
          <w:lang w:eastAsia="it-IT"/>
        </w:rPr>
        <w:t>ss.mm.ii</w:t>
      </w:r>
      <w:proofErr w:type="spellEnd"/>
      <w:r>
        <w:rPr>
          <w:rFonts w:ascii="Arial" w:eastAsiaTheme="minorEastAsia" w:hAnsi="Arial" w:cs="Arial"/>
          <w:sz w:val="20"/>
          <w:szCs w:val="20"/>
          <w:lang w:eastAsia="it-IT"/>
        </w:rPr>
        <w:t xml:space="preserve">. in carta semplice, con la sottoscrizione del documento da parte del dichiarante (rappresentante legale dell’operatore economico o altro soggetto dotato del potere di impegnare contrattualmente l’operatore economico medesimo) </w:t>
      </w:r>
    </w:p>
    <w:p w14:paraId="33362C45" w14:textId="77777777" w:rsidR="00AE55CA" w:rsidRDefault="003B1F75">
      <w:pPr>
        <w:numPr>
          <w:ilvl w:val="0"/>
          <w:numId w:val="3"/>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Potranno essere sottoscritte anche da procuratori dei legali rappresentanti ed in tal caso va allegata copia conforme all’originale della relativa procura;</w:t>
      </w:r>
    </w:p>
    <w:p w14:paraId="404D1441" w14:textId="77777777" w:rsidR="00AE55CA" w:rsidRDefault="003B1F75">
      <w:pPr>
        <w:numPr>
          <w:ilvl w:val="0"/>
          <w:numId w:val="3"/>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Devono essere rese e sottoscritte dagli operatori economici, in qualsiasi forma di partecipazione, singoli, raggruppati, consorziati, aggregati in rete di imprese, ancorché appartenenti alle eventuali imprese ausiliarie, ognuno per quanto di propria competenza.</w:t>
      </w:r>
    </w:p>
    <w:p w14:paraId="680EDC80" w14:textId="77777777" w:rsidR="00AE55CA" w:rsidRDefault="003B1F75">
      <w:pPr>
        <w:numPr>
          <w:ilvl w:val="0"/>
          <w:numId w:val="3"/>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La documentazione da produrre potrà essere prodotta in copia conforme ai sensi dell’art. 19 del DPR 28 dicembre 2000, n. 445;</w:t>
      </w:r>
    </w:p>
    <w:p w14:paraId="1D2E0101" w14:textId="77777777" w:rsidR="00AE55CA" w:rsidRDefault="003B1F75">
      <w:pPr>
        <w:numPr>
          <w:ilvl w:val="0"/>
          <w:numId w:val="3"/>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In caso di operatori economici non stabiliti in Italia, la documentazione dovrà essere prodotta in modalità idonea equivalente secondo la legislazione dello Stato di appartenenza.</w:t>
      </w:r>
    </w:p>
    <w:p w14:paraId="08E9496D"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78B287B4" w14:textId="77777777" w:rsidR="00AE55CA" w:rsidRDefault="003B1F75">
      <w:pPr>
        <w:tabs>
          <w:tab w:val="left" w:pos="284"/>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Tutta la documentazione da produrre deve essere in </w:t>
      </w:r>
      <w:r>
        <w:rPr>
          <w:rFonts w:ascii="Arial" w:eastAsiaTheme="minorEastAsia" w:hAnsi="Arial" w:cs="Arial"/>
          <w:b/>
          <w:sz w:val="20"/>
          <w:szCs w:val="20"/>
          <w:lang w:eastAsia="it-IT"/>
        </w:rPr>
        <w:t>lingua italiana</w:t>
      </w:r>
      <w:r>
        <w:rPr>
          <w:rFonts w:ascii="Arial" w:eastAsiaTheme="minorEastAsia" w:hAnsi="Arial" w:cs="Arial"/>
          <w:sz w:val="20"/>
          <w:szCs w:val="20"/>
          <w:lang w:eastAsia="it-IT"/>
        </w:rPr>
        <w:t xml:space="preserve"> o, </w:t>
      </w:r>
      <w:r>
        <w:rPr>
          <w:rFonts w:ascii="Arial" w:eastAsiaTheme="minorEastAsia" w:hAnsi="Arial" w:cs="Arial"/>
          <w:b/>
          <w:sz w:val="20"/>
          <w:szCs w:val="20"/>
          <w:lang w:eastAsia="it-IT"/>
        </w:rPr>
        <w:t>se redatta in lingua straniera, deve essere corredata da traduzione giurata in lingua italiana</w:t>
      </w:r>
      <w:r>
        <w:rPr>
          <w:rFonts w:ascii="Arial" w:eastAsiaTheme="minorEastAsia" w:hAnsi="Arial" w:cs="Arial"/>
          <w:sz w:val="20"/>
          <w:szCs w:val="20"/>
          <w:lang w:eastAsia="it-IT"/>
        </w:rPr>
        <w:t>. In caso di contrasto tra testo in lingua straniera e testo in lingua italiana prevarrà la versione in lingua italiana, essendo a rischio dell’operatore economico assicurare la fedeltà della traduzione. È fatta eccezione per la scheda tecnica che potrà essere redatta in lingua inglese senza traduzione giurata</w:t>
      </w:r>
    </w:p>
    <w:p w14:paraId="740CEB90"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2EB5F829" w14:textId="77777777" w:rsidR="00AE55CA" w:rsidRDefault="003B1F75">
      <w:pPr>
        <w:tabs>
          <w:tab w:val="left" w:pos="284"/>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lastRenderedPageBreak/>
        <w:t>La documentazione dovrà essere sottoscritta con firma digitale per gli operatori italiani o stranieri residenti in Italia ovvero con firma autografa, corredata dalla fotocopia di un documento di identità in corso di validità del sottoscrittore, per gli OE stranieri.</w:t>
      </w:r>
    </w:p>
    <w:p w14:paraId="15FE18AF"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5005B89B" w14:textId="77777777" w:rsidR="00AE55CA" w:rsidRDefault="003B1F75">
      <w:pPr>
        <w:pStyle w:val="Titolo2"/>
        <w:numPr>
          <w:ilvl w:val="1"/>
          <w:numId w:val="5"/>
        </w:numPr>
        <w:tabs>
          <w:tab w:val="left" w:pos="567"/>
          <w:tab w:val="left" w:pos="709"/>
        </w:tabs>
        <w:ind w:left="0" w:firstLine="0"/>
        <w:rPr>
          <w:rFonts w:ascii="Arial" w:eastAsiaTheme="minorEastAsia" w:hAnsi="Arial" w:cs="Arial"/>
          <w:lang w:eastAsia="it-IT"/>
        </w:rPr>
      </w:pPr>
      <w:bookmarkStart w:id="35" w:name="_Toc127539104"/>
      <w:r>
        <w:rPr>
          <w:rFonts w:ascii="Arial" w:eastAsiaTheme="minorEastAsia" w:hAnsi="Arial" w:cs="Arial"/>
          <w:lang w:eastAsia="it-IT"/>
        </w:rPr>
        <w:t>Documentazione busta virtuale:</w:t>
      </w:r>
      <w:bookmarkEnd w:id="35"/>
    </w:p>
    <w:p w14:paraId="0687F3A5" w14:textId="77777777" w:rsidR="00AE55CA" w:rsidRDefault="00AE55CA">
      <w:pPr>
        <w:keepNext/>
        <w:tabs>
          <w:tab w:val="left" w:pos="284"/>
          <w:tab w:val="left" w:pos="567"/>
          <w:tab w:val="left" w:pos="709"/>
        </w:tabs>
        <w:contextualSpacing/>
        <w:jc w:val="both"/>
        <w:outlineLvl w:val="1"/>
        <w:rPr>
          <w:rFonts w:ascii="Arial" w:eastAsiaTheme="minorEastAsia" w:hAnsi="Arial" w:cs="Arial"/>
          <w:b/>
          <w:bCs/>
          <w:sz w:val="20"/>
          <w:szCs w:val="20"/>
          <w:lang w:eastAsia="it-IT"/>
        </w:rPr>
      </w:pPr>
    </w:p>
    <w:p w14:paraId="289AB28C" w14:textId="77777777" w:rsidR="00AE55CA" w:rsidRDefault="003B1F75">
      <w:pPr>
        <w:pStyle w:val="Paragrafoelenco"/>
        <w:numPr>
          <w:ilvl w:val="3"/>
          <w:numId w:val="10"/>
        </w:numPr>
        <w:tabs>
          <w:tab w:val="left" w:pos="284"/>
          <w:tab w:val="left" w:pos="567"/>
          <w:tab w:val="left" w:pos="709"/>
        </w:tabs>
        <w:ind w:left="0" w:firstLine="0"/>
        <w:jc w:val="both"/>
        <w:rPr>
          <w:rFonts w:ascii="Arial" w:eastAsiaTheme="minorEastAsia" w:hAnsi="Arial" w:cs="Arial"/>
          <w:b/>
          <w:sz w:val="20"/>
          <w:szCs w:val="20"/>
          <w:u w:val="single"/>
          <w:lang w:eastAsia="it-IT"/>
        </w:rPr>
      </w:pPr>
      <w:r>
        <w:rPr>
          <w:rFonts w:ascii="Arial" w:eastAsiaTheme="minorEastAsia" w:hAnsi="Arial" w:cs="Arial"/>
          <w:b/>
          <w:sz w:val="20"/>
          <w:szCs w:val="20"/>
          <w:u w:val="single"/>
          <w:lang w:eastAsia="it-IT"/>
        </w:rPr>
        <w:t>Il Documento di Gara Unico Europeo – DGUE, sottoscritto con firma digitale</w:t>
      </w:r>
    </w:p>
    <w:p w14:paraId="51C061C6" w14:textId="77777777" w:rsidR="00AE55CA" w:rsidRDefault="00AE55CA">
      <w:pPr>
        <w:tabs>
          <w:tab w:val="left" w:pos="284"/>
          <w:tab w:val="left" w:pos="567"/>
          <w:tab w:val="left" w:pos="709"/>
        </w:tabs>
        <w:contextualSpacing/>
        <w:jc w:val="both"/>
        <w:rPr>
          <w:rFonts w:ascii="Arial" w:eastAsiaTheme="minorEastAsia" w:hAnsi="Arial" w:cs="Arial"/>
          <w:bCs/>
          <w:sz w:val="20"/>
          <w:szCs w:val="20"/>
          <w:lang w:eastAsia="it-IT"/>
        </w:rPr>
      </w:pPr>
    </w:p>
    <w:p w14:paraId="48FA69B0"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L’operatore economico deve compilare il DGUE secondo quanto di seguito specificato.</w:t>
      </w:r>
    </w:p>
    <w:p w14:paraId="49B5593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In attuazione dell’art. 91 del Nuovo Codice, il DGUE dovrà essere predisposto esclusivamente in modalità telematica; per la corretta compilazione del DGUE, si rimanda al contenuto della Circolare MIT n. 6212 del 30.06.2023 che definisce le linee guida per la compilazione del modello di formulario di DGUE approvato dal Regolamento di esecuzione (UE) 2016/7 della Commissione del 5 gennaio 2016 ed in conformità del modello disponibile all’indiritto http://espd.eop.bg con la seguente procedura:</w:t>
      </w:r>
    </w:p>
    <w:p w14:paraId="4D2D1389"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1.</w:t>
      </w:r>
      <w:r w:rsidRPr="004A6632">
        <w:rPr>
          <w:rFonts w:ascii="Arial" w:hAnsi="Arial" w:cs="Arial"/>
          <w:bCs/>
          <w:sz w:val="20"/>
          <w:szCs w:val="20"/>
        </w:rPr>
        <w:tab/>
        <w:t>Selezionare opportunamente la lingua da utilizzare – le istruzioni nel seguito sono fornite per la lingua italiana;</w:t>
      </w:r>
    </w:p>
    <w:p w14:paraId="55534636"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2.</w:t>
      </w:r>
      <w:r w:rsidRPr="004A6632">
        <w:rPr>
          <w:rFonts w:ascii="Arial" w:hAnsi="Arial" w:cs="Arial"/>
          <w:bCs/>
          <w:sz w:val="20"/>
          <w:szCs w:val="20"/>
        </w:rPr>
        <w:tab/>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76B95E7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3.</w:t>
      </w:r>
      <w:r w:rsidRPr="004A6632">
        <w:rPr>
          <w:rFonts w:ascii="Arial" w:hAnsi="Arial" w:cs="Arial"/>
          <w:bCs/>
          <w:sz w:val="20"/>
          <w:szCs w:val="20"/>
        </w:rPr>
        <w:tab/>
        <w:t>Effettuato l’upload il sistema richiede, nella sezione “Dove si trova la Sua impresa?”, di selezionare, utilizzando un menu a tendina, il paese. Quindi, premendo il bottone “Avanti” si aprirà la procedura di compilazione on-line del DGUE;</w:t>
      </w:r>
    </w:p>
    <w:p w14:paraId="406A7ED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4.</w:t>
      </w:r>
      <w:r w:rsidRPr="004A6632">
        <w:rPr>
          <w:rFonts w:ascii="Arial" w:hAnsi="Arial" w:cs="Arial"/>
          <w:bCs/>
          <w:sz w:val="20"/>
          <w:szCs w:val="20"/>
        </w:rPr>
        <w:tab/>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5091803C"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5.</w:t>
      </w:r>
      <w:r w:rsidRPr="004A6632">
        <w:rPr>
          <w:rFonts w:ascii="Arial" w:hAnsi="Arial" w:cs="Arial"/>
          <w:bCs/>
          <w:sz w:val="20"/>
          <w:szCs w:val="20"/>
        </w:rPr>
        <w:tab/>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78F14E1E" w14:textId="77777777" w:rsidR="00B41637" w:rsidRPr="004A6632" w:rsidRDefault="00B41637" w:rsidP="00B41637">
      <w:pPr>
        <w:tabs>
          <w:tab w:val="left" w:pos="284"/>
          <w:tab w:val="left" w:pos="567"/>
          <w:tab w:val="left" w:pos="709"/>
        </w:tabs>
        <w:rPr>
          <w:rFonts w:ascii="Arial" w:hAnsi="Arial" w:cs="Arial"/>
          <w:bCs/>
          <w:sz w:val="20"/>
          <w:szCs w:val="20"/>
        </w:rPr>
      </w:pPr>
    </w:p>
    <w:p w14:paraId="5C4ECA4F"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Parte I – Informazioni sulla procedura di appalto e sull’amministrazione aggiudicatrice o ente aggiudicatore</w:t>
      </w:r>
    </w:p>
    <w:p w14:paraId="55B42AD0"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rende tutte le informazioni richieste relative alla procedura di appalto.</w:t>
      </w:r>
    </w:p>
    <w:p w14:paraId="7BDB5FE6" w14:textId="77777777" w:rsidR="00B41637" w:rsidRPr="004A6632" w:rsidRDefault="00B41637" w:rsidP="00B41637">
      <w:pPr>
        <w:tabs>
          <w:tab w:val="left" w:pos="284"/>
          <w:tab w:val="left" w:pos="567"/>
          <w:tab w:val="left" w:pos="709"/>
        </w:tabs>
        <w:rPr>
          <w:rFonts w:ascii="Arial" w:hAnsi="Arial" w:cs="Arial"/>
          <w:bCs/>
          <w:sz w:val="20"/>
          <w:szCs w:val="20"/>
        </w:rPr>
      </w:pPr>
    </w:p>
    <w:p w14:paraId="29FB01CD"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Parte II – Informazioni sull’operatore economico</w:t>
      </w:r>
    </w:p>
    <w:p w14:paraId="1D80EA12"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ivi inclusi i cessati nell’anno antecedente la data di pubblicazione del bando di gara.</w:t>
      </w:r>
    </w:p>
    <w:p w14:paraId="75A06AC9"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DGUE rappresenta una dichiarazione sostitutiva di atto di notorietà resa ai sensi dell’art. 47 del DPR 445/2000 con cui l’operatore economico attesta di:</w:t>
      </w:r>
    </w:p>
    <w:p w14:paraId="262D8E58"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Non trovarsi in una delle situazioni di esclusione di cui al Titolo IV, Capo II della Parte V del Codice (artt. 94 a 98);</w:t>
      </w:r>
    </w:p>
    <w:p w14:paraId="3CBA7A0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Soddisfare i pertinenti criteri di selezione di cui agli artt.100, 103 e 162 del Codice;</w:t>
      </w:r>
    </w:p>
    <w:p w14:paraId="58E8DB0D"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Rispettare, nei casi previsti, le norme e i criteri oggettivi fissati al fine di limitare il numero di candidati qualificati da invitare ai sensi dell’articolo 70, comma 6, del Codice.</w:t>
      </w:r>
    </w:p>
    <w:p w14:paraId="78286081" w14:textId="77777777" w:rsidR="00B41637" w:rsidRPr="004A6632" w:rsidRDefault="00B41637" w:rsidP="00B41637">
      <w:pPr>
        <w:tabs>
          <w:tab w:val="left" w:pos="284"/>
          <w:tab w:val="left" w:pos="567"/>
          <w:tab w:val="left" w:pos="709"/>
        </w:tabs>
        <w:rPr>
          <w:rFonts w:ascii="Arial" w:hAnsi="Arial" w:cs="Arial"/>
          <w:bCs/>
          <w:sz w:val="20"/>
          <w:szCs w:val="20"/>
        </w:rPr>
      </w:pPr>
    </w:p>
    <w:p w14:paraId="400B2C73"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In caso di ricorso all’avvalimento si richiede la compilazione della sezione C</w:t>
      </w:r>
    </w:p>
    <w:p w14:paraId="07B50DB9"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indica la denominazione dell’operatore economico ausiliario e i requisiti oggetto di avvalimento.</w:t>
      </w:r>
    </w:p>
    <w:p w14:paraId="47DC32CC" w14:textId="77777777" w:rsidR="00B41637" w:rsidRPr="004A6632" w:rsidRDefault="00B41637" w:rsidP="00B41637">
      <w:pPr>
        <w:tabs>
          <w:tab w:val="left" w:pos="284"/>
          <w:tab w:val="left" w:pos="567"/>
          <w:tab w:val="left" w:pos="709"/>
        </w:tabs>
        <w:rPr>
          <w:rFonts w:ascii="Arial" w:hAnsi="Arial" w:cs="Arial"/>
          <w:bCs/>
          <w:sz w:val="20"/>
          <w:szCs w:val="20"/>
        </w:rPr>
      </w:pPr>
    </w:p>
    <w:p w14:paraId="6595859D"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In caso di ricorso al subappalto si richiede la compilazione della sezione D</w:t>
      </w:r>
    </w:p>
    <w:p w14:paraId="3433B925"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pena l’impossibilità di ricorrere al subappalto, indica l’elenco delle prestazioni che intende subappaltare con la relativa quota percentuale dell’importo complessivo del contratto.</w:t>
      </w:r>
    </w:p>
    <w:p w14:paraId="3F528381" w14:textId="77777777" w:rsidR="00B41637" w:rsidRPr="004A6632" w:rsidRDefault="00B41637" w:rsidP="00B41637">
      <w:pPr>
        <w:tabs>
          <w:tab w:val="left" w:pos="284"/>
          <w:tab w:val="left" w:pos="567"/>
          <w:tab w:val="left" w:pos="709"/>
        </w:tabs>
        <w:rPr>
          <w:rFonts w:ascii="Arial" w:hAnsi="Arial" w:cs="Arial"/>
          <w:bCs/>
          <w:sz w:val="20"/>
          <w:szCs w:val="20"/>
        </w:rPr>
      </w:pPr>
    </w:p>
    <w:p w14:paraId="5B8BB524"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Parte III – Motivi di esclusione</w:t>
      </w:r>
    </w:p>
    <w:p w14:paraId="19B118A5"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dichiara di non trovarsi nelle condizioni previste dal Nuovo codice, con la compilazione delle Sezioni A, B, C e D.</w:t>
      </w:r>
    </w:p>
    <w:p w14:paraId="3A0B415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5CD77B4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Nella Parte III contiene le informazioni relative all’assenza dei motivi di esclusione (articoli da 94 a 98 del Codice). </w:t>
      </w:r>
    </w:p>
    <w:p w14:paraId="51A2361A"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La Sez. A - Motivi legati a condanne penali si riferisce ai motivi di esclusione legati a condanne penali previsti dall’articolo 57, paragrafo 1 della direttiva 2014/24/UE, che, nel Codice, sono disciplinati all’ 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57026A52"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Occorre, infine, integrare le informazioni riguardanti tali motivi di esclusione inserendo i dati inerenti alla tipologia del reato commesso, la durata della condanna inflitta, </w:t>
      </w:r>
      <w:proofErr w:type="spellStart"/>
      <w:r w:rsidRPr="004A6632">
        <w:rPr>
          <w:rFonts w:ascii="Arial" w:hAnsi="Arial" w:cs="Arial"/>
          <w:bCs/>
          <w:sz w:val="20"/>
          <w:szCs w:val="20"/>
        </w:rPr>
        <w:t>nonchè</w:t>
      </w:r>
      <w:proofErr w:type="spellEnd"/>
      <w:r w:rsidRPr="004A6632">
        <w:rPr>
          <w:rFonts w:ascii="Arial" w:hAnsi="Arial" w:cs="Arial"/>
          <w:bCs/>
          <w:sz w:val="20"/>
          <w:szCs w:val="20"/>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(self-</w:t>
      </w:r>
      <w:proofErr w:type="spellStart"/>
      <w:r w:rsidRPr="004A6632">
        <w:rPr>
          <w:rFonts w:ascii="Arial" w:hAnsi="Arial" w:cs="Arial"/>
          <w:bCs/>
          <w:sz w:val="20"/>
          <w:szCs w:val="20"/>
        </w:rPr>
        <w:t>cleaning</w:t>
      </w:r>
      <w:proofErr w:type="spellEnd"/>
      <w:r w:rsidRPr="004A6632">
        <w:rPr>
          <w:rFonts w:ascii="Arial" w:hAnsi="Arial" w:cs="Arial"/>
          <w:bCs/>
          <w:sz w:val="20"/>
          <w:szCs w:val="20"/>
        </w:rPr>
        <w:t xml:space="preserve">) e la conseguente valutazione delle misure ivi contemplate attuate dall’operatore economico finalizzate alla decisione di escludere o meno l’operatore economico dalla procedura di gara, ai sensi dell’art. 96, comma 7, del Codice. </w:t>
      </w:r>
    </w:p>
    <w:p w14:paraId="12B5B4B1"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Le misure di self-</w:t>
      </w:r>
      <w:proofErr w:type="spellStart"/>
      <w:r w:rsidRPr="004A6632">
        <w:rPr>
          <w:rFonts w:ascii="Arial" w:hAnsi="Arial" w:cs="Arial"/>
          <w:bCs/>
          <w:sz w:val="20"/>
          <w:szCs w:val="20"/>
        </w:rPr>
        <w:t>cleaning</w:t>
      </w:r>
      <w:proofErr w:type="spellEnd"/>
      <w:r w:rsidRPr="004A6632">
        <w:rPr>
          <w:rFonts w:ascii="Arial" w:hAnsi="Arial" w:cs="Arial"/>
          <w:bCs/>
          <w:sz w:val="20"/>
          <w:szCs w:val="20"/>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5FE1A92A"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L’operatore economico dovrà rendere disponibile nel Fascicolo Virtuale dell’Operatore Economico (FVOE) la documentazione concernente il self-</w:t>
      </w:r>
      <w:proofErr w:type="spellStart"/>
      <w:r w:rsidRPr="004A6632">
        <w:rPr>
          <w:rFonts w:ascii="Arial" w:hAnsi="Arial" w:cs="Arial"/>
          <w:bCs/>
          <w:sz w:val="20"/>
          <w:szCs w:val="20"/>
        </w:rPr>
        <w:t>cleaning</w:t>
      </w:r>
      <w:proofErr w:type="spellEnd"/>
      <w:r w:rsidRPr="004A6632">
        <w:rPr>
          <w:rFonts w:ascii="Arial" w:hAnsi="Arial" w:cs="Arial"/>
          <w:bCs/>
          <w:sz w:val="20"/>
          <w:szCs w:val="20"/>
        </w:rPr>
        <w:t xml:space="preserve"> e darne evidenza compilando la voce “Reference/code” con il testo “Documentazione presente nel FVOE”. </w:t>
      </w:r>
    </w:p>
    <w:p w14:paraId="6F23994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Le informazioni sopra indicate devono essere riportate per tutti i reati previsti negli appositi spazi della presente sezione. </w:t>
      </w:r>
    </w:p>
    <w:p w14:paraId="43BD3880"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Si precisa che le indicazioni sul self-</w:t>
      </w:r>
      <w:proofErr w:type="spellStart"/>
      <w:r w:rsidRPr="004A6632">
        <w:rPr>
          <w:rFonts w:ascii="Arial" w:hAnsi="Arial" w:cs="Arial"/>
          <w:bCs/>
          <w:sz w:val="20"/>
          <w:szCs w:val="20"/>
        </w:rPr>
        <w:t>cleaning</w:t>
      </w:r>
      <w:proofErr w:type="spellEnd"/>
      <w:r w:rsidRPr="004A6632">
        <w:rPr>
          <w:rFonts w:ascii="Arial" w:hAnsi="Arial" w:cs="Arial"/>
          <w:bCs/>
          <w:sz w:val="20"/>
          <w:szCs w:val="20"/>
        </w:rPr>
        <w:t xml:space="preserve"> sopra formulate si applicano anche alle altre Sezioni del DGUE in cui tali misure sono previste. </w:t>
      </w:r>
    </w:p>
    <w:p w14:paraId="4D2D6762"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Con riferimento alla Sez. B - Motivi legati al pagamento di imposte o contributi previdenziali si evidenzia che l’operatore economico </w:t>
      </w:r>
      <w:proofErr w:type="spellStart"/>
      <w:r w:rsidRPr="004A6632">
        <w:rPr>
          <w:rFonts w:ascii="Arial" w:hAnsi="Arial" w:cs="Arial"/>
          <w:bCs/>
          <w:sz w:val="20"/>
          <w:szCs w:val="20"/>
        </w:rPr>
        <w:t>dovra</w:t>
      </w:r>
      <w:proofErr w:type="spellEnd"/>
      <w:r w:rsidRPr="004A6632">
        <w:rPr>
          <w:rFonts w:ascii="Arial" w:hAnsi="Arial" w:cs="Arial"/>
          <w:bCs/>
          <w:sz w:val="20"/>
          <w:szCs w:val="20"/>
        </w:rPr>
        <w:t xml:space="preserve">̀ specificare negli appositi spazi le ipotesi previste dall’art. 95, comma 2 del Codice (pagamento, compensazione, estinzione), indicando, </w:t>
      </w:r>
      <w:proofErr w:type="spellStart"/>
      <w:r w:rsidRPr="004A6632">
        <w:rPr>
          <w:rFonts w:ascii="Arial" w:hAnsi="Arial" w:cs="Arial"/>
          <w:bCs/>
          <w:sz w:val="20"/>
          <w:szCs w:val="20"/>
        </w:rPr>
        <w:t>altresi</w:t>
      </w:r>
      <w:proofErr w:type="spellEnd"/>
      <w:r w:rsidRPr="004A6632">
        <w:rPr>
          <w:rFonts w:ascii="Arial" w:hAnsi="Arial" w:cs="Arial"/>
          <w:bCs/>
          <w:sz w:val="20"/>
          <w:szCs w:val="20"/>
        </w:rPr>
        <w:t xml:space="preserve">̀, se il pagamento o la formalizzazione dell’impegno siano intervenuti prima della scadenza del termine per la presentazione della domanda di partecipazione alla gara. Queste informazioni devono essere inserite per le diverse fattispecie previste nella presente sezione. </w:t>
      </w:r>
    </w:p>
    <w:p w14:paraId="61E3EF1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Per quanto concerne la Sez. C - Motivi legati a insolvenza, conflitto di interessi o illeciti professionali, si precisa quanto segue. </w:t>
      </w:r>
    </w:p>
    <w:p w14:paraId="00594DE9"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p>
    <w:p w14:paraId="7D0E885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Nel riquadro della presente sezione dedicato al “Liquidazione giudiziale” (</w:t>
      </w:r>
      <w:proofErr w:type="spellStart"/>
      <w:r w:rsidRPr="004A6632">
        <w:rPr>
          <w:rFonts w:ascii="Arial" w:hAnsi="Arial" w:cs="Arial"/>
          <w:bCs/>
          <w:sz w:val="20"/>
          <w:szCs w:val="20"/>
        </w:rPr>
        <w:t>rif.</w:t>
      </w:r>
      <w:proofErr w:type="spellEnd"/>
      <w:r w:rsidRPr="004A6632">
        <w:rPr>
          <w:rFonts w:ascii="Arial" w:hAnsi="Arial" w:cs="Arial"/>
          <w:bCs/>
          <w:sz w:val="20"/>
          <w:szCs w:val="20"/>
        </w:rPr>
        <w:t xml:space="preserve"> art. 94, comma 5, lett. d) del Codice), il punto concernente i motivi per i quali l’operatore economico </w:t>
      </w:r>
      <w:proofErr w:type="spellStart"/>
      <w:r w:rsidRPr="004A6632">
        <w:rPr>
          <w:rFonts w:ascii="Arial" w:hAnsi="Arial" w:cs="Arial"/>
          <w:bCs/>
          <w:sz w:val="20"/>
          <w:szCs w:val="20"/>
        </w:rPr>
        <w:t>sara</w:t>
      </w:r>
      <w:proofErr w:type="spellEnd"/>
      <w:r w:rsidRPr="004A6632">
        <w:rPr>
          <w:rFonts w:ascii="Arial" w:hAnsi="Arial" w:cs="Arial"/>
          <w:bCs/>
          <w:sz w:val="20"/>
          <w:szCs w:val="20"/>
        </w:rPr>
        <w:t xml:space="preserve">̀ comunque in grado di eseguire il </w:t>
      </w:r>
      <w:r w:rsidRPr="004A6632">
        <w:rPr>
          <w:rFonts w:ascii="Arial" w:hAnsi="Arial" w:cs="Arial"/>
          <w:bCs/>
          <w:sz w:val="20"/>
          <w:szCs w:val="20"/>
        </w:rPr>
        <w:lastRenderedPageBreak/>
        <w:t xml:space="preserve">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p>
    <w:p w14:paraId="31920B6A"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Per quanto riguarda il riquadro “Concordato preventivo con i creditori”, andranno inserite informazioni analoghe a quelle indicate al punto precedente. </w:t>
      </w:r>
    </w:p>
    <w:p w14:paraId="4ACCA937"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In ordine ai riquadri “Procedura analoga al fallimento”, “Amministrazione controllata” e “Cessazione di </w:t>
      </w:r>
      <w:proofErr w:type="spellStart"/>
      <w:r w:rsidRPr="004A6632">
        <w:rPr>
          <w:rFonts w:ascii="Arial" w:hAnsi="Arial" w:cs="Arial"/>
          <w:bCs/>
          <w:sz w:val="20"/>
          <w:szCs w:val="20"/>
        </w:rPr>
        <w:t>attivita</w:t>
      </w:r>
      <w:proofErr w:type="spellEnd"/>
      <w:r w:rsidRPr="004A6632">
        <w:rPr>
          <w:rFonts w:ascii="Arial" w:hAnsi="Arial" w:cs="Arial"/>
          <w:bCs/>
          <w:sz w:val="20"/>
          <w:szCs w:val="20"/>
        </w:rPr>
        <w:t xml:space="preserve">̀”, si rinvia alle specifiche tecniche di </w:t>
      </w:r>
      <w:proofErr w:type="spellStart"/>
      <w:r w:rsidRPr="004A6632">
        <w:rPr>
          <w:rFonts w:ascii="Arial" w:hAnsi="Arial" w:cs="Arial"/>
          <w:bCs/>
          <w:sz w:val="20"/>
          <w:szCs w:val="20"/>
        </w:rPr>
        <w:t>AgID</w:t>
      </w:r>
      <w:proofErr w:type="spellEnd"/>
      <w:r w:rsidRPr="004A6632">
        <w:rPr>
          <w:rFonts w:ascii="Arial" w:hAnsi="Arial" w:cs="Arial"/>
          <w:bCs/>
          <w:sz w:val="20"/>
          <w:szCs w:val="20"/>
        </w:rPr>
        <w:t xml:space="preserve"> sopra menzionate. </w:t>
      </w:r>
    </w:p>
    <w:p w14:paraId="2884764D"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In merito al riquadro “Gravi illeciti professionali” (</w:t>
      </w:r>
      <w:proofErr w:type="spellStart"/>
      <w:r w:rsidRPr="004A6632">
        <w:rPr>
          <w:rFonts w:ascii="Arial" w:hAnsi="Arial" w:cs="Arial"/>
          <w:bCs/>
          <w:sz w:val="20"/>
          <w:szCs w:val="20"/>
        </w:rPr>
        <w:t>rif.</w:t>
      </w:r>
      <w:proofErr w:type="spellEnd"/>
      <w:r w:rsidRPr="004A6632">
        <w:rPr>
          <w:rFonts w:ascii="Arial" w:hAnsi="Arial" w:cs="Arial"/>
          <w:bCs/>
          <w:sz w:val="20"/>
          <w:szCs w:val="20"/>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7CBB4135"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Si evidenzia, inoltre, che devono essere dettagliatamente indicate le fattispecie di illecito professionale tra quelle elencate dall’articolo 98 del Codice, cui la dichiarazione è riferita. </w:t>
      </w:r>
    </w:p>
    <w:p w14:paraId="36C19B45"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14:paraId="3C6E7A36"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Nella Sez.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p>
    <w:p w14:paraId="755342C7" w14:textId="77777777" w:rsidR="00B41637" w:rsidRPr="004A6632" w:rsidRDefault="00B41637" w:rsidP="00B41637">
      <w:pPr>
        <w:tabs>
          <w:tab w:val="left" w:pos="284"/>
          <w:tab w:val="left" w:pos="567"/>
          <w:tab w:val="left" w:pos="709"/>
        </w:tabs>
        <w:rPr>
          <w:rFonts w:ascii="Arial" w:hAnsi="Arial" w:cs="Arial"/>
          <w:bCs/>
          <w:sz w:val="20"/>
          <w:szCs w:val="20"/>
        </w:rPr>
      </w:pPr>
    </w:p>
    <w:p w14:paraId="1635D258"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Parte IV – Criteri di selezione</w:t>
      </w:r>
    </w:p>
    <w:p w14:paraId="29D32BCC"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concorrente dichiara di possedere tutti i requisiti richiesti dai criteri di selezione compilando i riquadri, posto che ulteriori informazioni possono essere richieste invece che nel DGUE all’interno della domanda di partecipazione, che riguardano i requisiti di ordine speciale previsti dagli artt.100 e 103 del Codice (requisiti di idoneità professionale, capacità economica e finanziaria, capacità tecniche e professionali).</w:t>
      </w:r>
    </w:p>
    <w:p w14:paraId="254402EF" w14:textId="77777777" w:rsidR="00B41637" w:rsidRPr="004A6632" w:rsidRDefault="00B41637" w:rsidP="00B41637">
      <w:pPr>
        <w:tabs>
          <w:tab w:val="left" w:pos="284"/>
          <w:tab w:val="left" w:pos="567"/>
          <w:tab w:val="left" w:pos="709"/>
        </w:tabs>
        <w:rPr>
          <w:rFonts w:ascii="Arial" w:hAnsi="Arial" w:cs="Arial"/>
          <w:bCs/>
          <w:sz w:val="20"/>
          <w:szCs w:val="20"/>
        </w:rPr>
      </w:pPr>
    </w:p>
    <w:p w14:paraId="3D314BCA"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Parte VI – Dichiarazioni finali </w:t>
      </w:r>
    </w:p>
    <w:p w14:paraId="27354A5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Il concorrente rende tutte le informazioni richieste mediante la compilazione delle parti pertinenti con le quali il dichiarante si assume la </w:t>
      </w:r>
      <w:proofErr w:type="spellStart"/>
      <w:r w:rsidRPr="004A6632">
        <w:rPr>
          <w:rFonts w:ascii="Arial" w:hAnsi="Arial" w:cs="Arial"/>
          <w:bCs/>
          <w:sz w:val="20"/>
          <w:szCs w:val="20"/>
        </w:rPr>
        <w:t>responsabilita</w:t>
      </w:r>
      <w:proofErr w:type="spellEnd"/>
      <w:r w:rsidRPr="004A6632">
        <w:rPr>
          <w:rFonts w:ascii="Arial" w:hAnsi="Arial" w:cs="Arial"/>
          <w:bCs/>
          <w:sz w:val="20"/>
          <w:szCs w:val="20"/>
        </w:rPr>
        <w:t xml:space="preserve">̀ della </w:t>
      </w:r>
      <w:proofErr w:type="spellStart"/>
      <w:r w:rsidRPr="004A6632">
        <w:rPr>
          <w:rFonts w:ascii="Arial" w:hAnsi="Arial" w:cs="Arial"/>
          <w:bCs/>
          <w:sz w:val="20"/>
          <w:szCs w:val="20"/>
        </w:rPr>
        <w:t>veridicita</w:t>
      </w:r>
      <w:proofErr w:type="spellEnd"/>
      <w:r w:rsidRPr="004A6632">
        <w:rPr>
          <w:rFonts w:ascii="Arial" w:hAnsi="Arial" w:cs="Arial"/>
          <w:bCs/>
          <w:sz w:val="20"/>
          <w:szCs w:val="20"/>
        </w:rPr>
        <w:t xml:space="preserve">̀ delle informazioni rese e attesta di essere in grado di produrre - su richiesta e senza indugio - le prove documentali pertinenti. </w:t>
      </w:r>
    </w:p>
    <w:p w14:paraId="4272C4A7"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 xml:space="preserve">Da ultimo, si evidenzia che, nelle diverse Parti del DGUE, l’operatore economico </w:t>
      </w:r>
      <w:proofErr w:type="spellStart"/>
      <w:r w:rsidRPr="004A6632">
        <w:rPr>
          <w:rFonts w:ascii="Arial" w:hAnsi="Arial" w:cs="Arial"/>
          <w:bCs/>
          <w:sz w:val="20"/>
          <w:szCs w:val="20"/>
        </w:rPr>
        <w:t>puo</w:t>
      </w:r>
      <w:proofErr w:type="spellEnd"/>
      <w:r w:rsidRPr="004A6632">
        <w:rPr>
          <w:rFonts w:ascii="Arial" w:hAnsi="Arial" w:cs="Arial"/>
          <w:bCs/>
          <w:sz w:val="20"/>
          <w:szCs w:val="20"/>
        </w:rPr>
        <w:t>̀ indicare in corrispondenza al singolo dato, laddove ivi richiesto - anche l’</w:t>
      </w:r>
      <w:proofErr w:type="spellStart"/>
      <w:r w:rsidRPr="004A6632">
        <w:rPr>
          <w:rFonts w:ascii="Arial" w:hAnsi="Arial" w:cs="Arial"/>
          <w:bCs/>
          <w:sz w:val="20"/>
          <w:szCs w:val="20"/>
        </w:rPr>
        <w:t>Autorita</w:t>
      </w:r>
      <w:proofErr w:type="spellEnd"/>
      <w:r w:rsidRPr="004A6632">
        <w:rPr>
          <w:rFonts w:ascii="Arial" w:hAnsi="Arial" w:cs="Arial"/>
          <w:bCs/>
          <w:sz w:val="20"/>
          <w:szCs w:val="20"/>
        </w:rPr>
        <w:t xml:space="preserve">̀ pubblica o il soggetto terzo, ovvero il link, presso il quale le stazioni appaltanti e gli enti concedenti possono acquisire tutta la documentazione a riprova di quanto dichiarato dallo stesso operatore economico. </w:t>
      </w:r>
    </w:p>
    <w:p w14:paraId="47EEFF9A"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Si rammenta che attraverso il Fascicolo Virtuale dell’Operatore economico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w:t>
      </w:r>
    </w:p>
    <w:p w14:paraId="36D094F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Presenta, inoltre, il Documento di gara unico europeo per ciascuna ausiliaria, dal quale risulti il possesso dei requisiti e compilato per le parti relative ai requisiti oggetto di avvalimento.</w:t>
      </w:r>
    </w:p>
    <w:p w14:paraId="7AF03972" w14:textId="77777777" w:rsidR="00B41637" w:rsidRPr="004A6632" w:rsidRDefault="00B41637" w:rsidP="00B41637">
      <w:pPr>
        <w:tabs>
          <w:tab w:val="left" w:pos="284"/>
          <w:tab w:val="left" w:pos="567"/>
          <w:tab w:val="left" w:pos="709"/>
        </w:tabs>
        <w:rPr>
          <w:rFonts w:ascii="Arial" w:hAnsi="Arial" w:cs="Arial"/>
          <w:bCs/>
          <w:sz w:val="20"/>
          <w:szCs w:val="20"/>
        </w:rPr>
      </w:pPr>
    </w:p>
    <w:p w14:paraId="6CD8C991"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Il DGUE deve essere presentato e sottoscritto:</w:t>
      </w:r>
    </w:p>
    <w:p w14:paraId="53B9A2F4"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 xml:space="preserve">Nel caso di raggruppamenti temporanei, consorzi ordinari, GEIE, da tutti gli operatori economici che partecipano alla procedura in forma congiunta; </w:t>
      </w:r>
    </w:p>
    <w:p w14:paraId="13AD5E68"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Nel caso di aggregazioni di imprese di rete da ognuna delle imprese retiste, se l’intera rete partecipa, ovvero dall’organo comune e dalle singole imprese retiste indicate;</w:t>
      </w:r>
    </w:p>
    <w:p w14:paraId="7D0B879B"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t>-</w:t>
      </w:r>
      <w:r w:rsidRPr="004A6632">
        <w:rPr>
          <w:rFonts w:ascii="Arial" w:hAnsi="Arial" w:cs="Arial"/>
          <w:bCs/>
          <w:sz w:val="20"/>
          <w:szCs w:val="20"/>
        </w:rPr>
        <w:tab/>
        <w:t xml:space="preserve">Nel caso di consorzi cooperativi, di consorzi artigiani e di consorzi stabili, dal consorzio e dai consorziati per conto dei quali il consorzio concorre. </w:t>
      </w:r>
    </w:p>
    <w:p w14:paraId="3E5E3E9E" w14:textId="77777777" w:rsidR="00B41637" w:rsidRPr="004A6632" w:rsidRDefault="00B41637" w:rsidP="00B41637">
      <w:pPr>
        <w:tabs>
          <w:tab w:val="left" w:pos="284"/>
          <w:tab w:val="left" w:pos="567"/>
          <w:tab w:val="left" w:pos="709"/>
        </w:tabs>
        <w:rPr>
          <w:rFonts w:ascii="Arial" w:hAnsi="Arial" w:cs="Arial"/>
          <w:bCs/>
          <w:sz w:val="20"/>
          <w:szCs w:val="20"/>
        </w:rPr>
      </w:pPr>
      <w:r w:rsidRPr="004A6632">
        <w:rPr>
          <w:rFonts w:ascii="Arial" w:hAnsi="Arial" w:cs="Arial"/>
          <w:bCs/>
          <w:sz w:val="20"/>
          <w:szCs w:val="20"/>
        </w:rPr>
        <w:lastRenderedPageBreak/>
        <w:t>In caso di incorporazione, fusione societaria o cessione d’azienda, le dichiarazioni, devono riferirsi anche ai soggetti che hanno operato presso la società incorporata, fusasi o che ha ceduto l’azienda nell’anno antecedente la data di pubblicazione del bando di gara.</w:t>
      </w:r>
    </w:p>
    <w:p w14:paraId="4095103C" w14:textId="77777777" w:rsidR="00B41637" w:rsidRPr="004A6632" w:rsidRDefault="00B41637" w:rsidP="00B41637">
      <w:pPr>
        <w:tabs>
          <w:tab w:val="left" w:pos="284"/>
          <w:tab w:val="left" w:pos="567"/>
          <w:tab w:val="left" w:pos="709"/>
        </w:tabs>
        <w:rPr>
          <w:rFonts w:ascii="Arial" w:hAnsi="Arial" w:cs="Arial"/>
          <w:bCs/>
          <w:sz w:val="20"/>
          <w:szCs w:val="20"/>
        </w:rPr>
      </w:pPr>
    </w:p>
    <w:p w14:paraId="1B9F0EAB" w14:textId="77777777" w:rsidR="00AE55CA" w:rsidRPr="004A6632" w:rsidRDefault="003B1F75">
      <w:pPr>
        <w:pStyle w:val="Paragrafoelenco"/>
        <w:numPr>
          <w:ilvl w:val="3"/>
          <w:numId w:val="10"/>
        </w:numPr>
        <w:tabs>
          <w:tab w:val="left" w:pos="284"/>
          <w:tab w:val="left" w:pos="567"/>
          <w:tab w:val="left" w:pos="709"/>
        </w:tabs>
        <w:ind w:left="0" w:firstLine="0"/>
        <w:jc w:val="both"/>
        <w:rPr>
          <w:rFonts w:ascii="Arial" w:eastAsiaTheme="minorEastAsia" w:hAnsi="Arial" w:cs="Arial"/>
          <w:b/>
          <w:sz w:val="20"/>
          <w:szCs w:val="20"/>
          <w:u w:val="single"/>
          <w:lang w:eastAsia="it-IT"/>
        </w:rPr>
      </w:pPr>
      <w:r w:rsidRPr="004A6632">
        <w:rPr>
          <w:rFonts w:ascii="Arial" w:eastAsiaTheme="minorEastAsia" w:hAnsi="Arial" w:cs="Arial"/>
          <w:b/>
          <w:sz w:val="20"/>
          <w:szCs w:val="20"/>
          <w:u w:val="single"/>
          <w:lang w:eastAsia="it-IT"/>
        </w:rPr>
        <w:t>“Dichiarazione integrativa al DGUE”, sotto</w:t>
      </w:r>
      <w:r w:rsidRPr="004A6632">
        <w:rPr>
          <w:rFonts w:ascii="Arial" w:eastAsia="Calibri" w:hAnsi="Arial" w:cs="Arial"/>
          <w:b/>
          <w:sz w:val="20"/>
          <w:szCs w:val="20"/>
          <w:u w:val="single"/>
        </w:rPr>
        <w:t>scritto con firma digitale</w:t>
      </w:r>
    </w:p>
    <w:p w14:paraId="40027F8D" w14:textId="77777777" w:rsidR="00AE55CA" w:rsidRPr="004A6632" w:rsidRDefault="00AE55CA">
      <w:pPr>
        <w:tabs>
          <w:tab w:val="left" w:pos="284"/>
          <w:tab w:val="left" w:pos="567"/>
          <w:tab w:val="left" w:pos="709"/>
        </w:tabs>
        <w:contextualSpacing/>
        <w:jc w:val="both"/>
        <w:rPr>
          <w:rFonts w:ascii="Arial" w:eastAsia="Times New Roman" w:hAnsi="Arial" w:cs="Arial"/>
          <w:sz w:val="20"/>
          <w:szCs w:val="20"/>
          <w:lang w:eastAsia="it-IT"/>
        </w:rPr>
      </w:pPr>
    </w:p>
    <w:p w14:paraId="3AE41E5D" w14:textId="77777777" w:rsidR="00AE55CA" w:rsidRPr="004A6632" w:rsidRDefault="003B1F75">
      <w:pPr>
        <w:tabs>
          <w:tab w:val="left" w:pos="284"/>
          <w:tab w:val="left" w:pos="567"/>
          <w:tab w:val="left" w:pos="709"/>
        </w:tabs>
        <w:contextualSpacing/>
        <w:jc w:val="both"/>
        <w:rPr>
          <w:rFonts w:ascii="Arial" w:eastAsiaTheme="minorEastAsia" w:hAnsi="Arial" w:cs="Arial"/>
          <w:sz w:val="20"/>
          <w:szCs w:val="20"/>
          <w:lang w:eastAsia="it-IT"/>
        </w:rPr>
      </w:pPr>
      <w:r w:rsidRPr="004A6632">
        <w:rPr>
          <w:rFonts w:ascii="Arial" w:eastAsia="Times New Roman" w:hAnsi="Arial" w:cs="Arial"/>
          <w:sz w:val="20"/>
          <w:szCs w:val="20"/>
          <w:lang w:eastAsia="it-IT"/>
        </w:rPr>
        <w:t xml:space="preserve">L’operatore economico </w:t>
      </w:r>
      <w:r w:rsidRPr="004A6632">
        <w:rPr>
          <w:rFonts w:ascii="Arial" w:eastAsiaTheme="minorEastAsia" w:hAnsi="Arial" w:cs="Arial"/>
          <w:sz w:val="20"/>
          <w:szCs w:val="20"/>
          <w:lang w:eastAsia="it-IT"/>
        </w:rPr>
        <w:t xml:space="preserve">deve compilare e </w:t>
      </w:r>
      <w:r w:rsidRPr="004A6632">
        <w:rPr>
          <w:rFonts w:ascii="Arial" w:eastAsiaTheme="minorEastAsia" w:hAnsi="Arial" w:cs="Arial"/>
          <w:sz w:val="20"/>
          <w:szCs w:val="20"/>
          <w:u w:val="single"/>
          <w:lang w:eastAsia="it-IT"/>
        </w:rPr>
        <w:t>firmare digitalmente</w:t>
      </w:r>
      <w:r w:rsidRPr="004A6632">
        <w:rPr>
          <w:rFonts w:ascii="Arial" w:eastAsiaTheme="minorEastAsia" w:hAnsi="Arial" w:cs="Arial"/>
          <w:sz w:val="20"/>
          <w:szCs w:val="20"/>
          <w:lang w:eastAsia="it-IT"/>
        </w:rPr>
        <w:t xml:space="preserve"> l’apposito Modello rendendo la dichiarazione sostitutiva ai sensi del DPR 445/2000, sottoscritta dal legale rappresentante o procuratore dell’operatore economico, </w:t>
      </w:r>
    </w:p>
    <w:p w14:paraId="5C6D9CF7" w14:textId="77777777" w:rsidR="00AE55CA" w:rsidRPr="004A6632" w:rsidRDefault="00AE55CA">
      <w:pPr>
        <w:tabs>
          <w:tab w:val="left" w:pos="284"/>
          <w:tab w:val="left" w:pos="567"/>
          <w:tab w:val="left" w:pos="709"/>
        </w:tabs>
        <w:contextualSpacing/>
        <w:jc w:val="both"/>
        <w:rPr>
          <w:rFonts w:ascii="Arial" w:eastAsiaTheme="minorEastAsia" w:hAnsi="Arial" w:cs="Arial"/>
          <w:b/>
          <w:sz w:val="20"/>
          <w:szCs w:val="20"/>
          <w:lang w:eastAsia="it-IT"/>
        </w:rPr>
      </w:pPr>
    </w:p>
    <w:p w14:paraId="742B9EFF" w14:textId="77777777" w:rsidR="00AE55CA" w:rsidRPr="004A6632" w:rsidRDefault="003B1F75">
      <w:pPr>
        <w:pStyle w:val="Paragrafoelenco"/>
        <w:numPr>
          <w:ilvl w:val="3"/>
          <w:numId w:val="10"/>
        </w:numPr>
        <w:tabs>
          <w:tab w:val="left" w:pos="284"/>
          <w:tab w:val="left" w:pos="567"/>
          <w:tab w:val="left" w:pos="709"/>
        </w:tabs>
        <w:ind w:left="0" w:firstLine="0"/>
        <w:jc w:val="both"/>
        <w:rPr>
          <w:rFonts w:ascii="Arial" w:eastAsiaTheme="minorEastAsia" w:hAnsi="Arial" w:cs="Arial"/>
          <w:b/>
          <w:sz w:val="20"/>
          <w:szCs w:val="20"/>
          <w:u w:val="single"/>
          <w:lang w:eastAsia="it-IT"/>
        </w:rPr>
      </w:pPr>
      <w:r w:rsidRPr="004A6632">
        <w:rPr>
          <w:rFonts w:ascii="Arial" w:eastAsiaTheme="minorEastAsia" w:hAnsi="Arial" w:cs="Arial"/>
          <w:b/>
          <w:sz w:val="20"/>
          <w:szCs w:val="20"/>
          <w:u w:val="single"/>
          <w:lang w:eastAsia="it-IT"/>
        </w:rPr>
        <w:t xml:space="preserve">Il </w:t>
      </w:r>
      <w:proofErr w:type="spellStart"/>
      <w:r w:rsidRPr="004A6632">
        <w:rPr>
          <w:rFonts w:ascii="Arial" w:eastAsiaTheme="minorEastAsia" w:hAnsi="Arial" w:cs="Arial"/>
          <w:b/>
          <w:sz w:val="20"/>
          <w:szCs w:val="20"/>
          <w:u w:val="single"/>
          <w:lang w:eastAsia="it-IT"/>
        </w:rPr>
        <w:t>PassOE</w:t>
      </w:r>
      <w:proofErr w:type="spellEnd"/>
      <w:r w:rsidRPr="004A6632">
        <w:rPr>
          <w:rFonts w:ascii="Arial" w:eastAsiaTheme="minorEastAsia" w:hAnsi="Arial" w:cs="Arial"/>
          <w:b/>
          <w:sz w:val="20"/>
          <w:szCs w:val="20"/>
          <w:u w:val="single"/>
          <w:lang w:eastAsia="it-IT"/>
        </w:rPr>
        <w:t>, sottos</w:t>
      </w:r>
      <w:r w:rsidRPr="004A6632">
        <w:rPr>
          <w:rFonts w:ascii="Arial" w:eastAsia="Calibri" w:hAnsi="Arial" w:cs="Arial"/>
          <w:b/>
          <w:sz w:val="20"/>
          <w:szCs w:val="20"/>
          <w:u w:val="single"/>
        </w:rPr>
        <w:t>critto con firma digitale</w:t>
      </w:r>
    </w:p>
    <w:p w14:paraId="487F92B9" w14:textId="77777777" w:rsidR="00AE55CA" w:rsidRPr="004A6632" w:rsidRDefault="00AE55CA">
      <w:pPr>
        <w:pStyle w:val="Paragrafoelenco"/>
        <w:tabs>
          <w:tab w:val="left" w:pos="284"/>
          <w:tab w:val="left" w:pos="567"/>
          <w:tab w:val="left" w:pos="709"/>
        </w:tabs>
        <w:ind w:left="0"/>
        <w:jc w:val="both"/>
        <w:rPr>
          <w:rFonts w:ascii="Arial" w:eastAsiaTheme="minorEastAsia" w:hAnsi="Arial" w:cs="Arial"/>
          <w:b/>
          <w:sz w:val="20"/>
          <w:szCs w:val="20"/>
          <w:lang w:eastAsia="it-IT"/>
        </w:rPr>
      </w:pPr>
    </w:p>
    <w:p w14:paraId="09189572" w14:textId="0A51664E" w:rsidR="00AE55CA" w:rsidRDefault="0004355A">
      <w:pPr>
        <w:tabs>
          <w:tab w:val="left" w:pos="567"/>
          <w:tab w:val="left" w:pos="709"/>
        </w:tabs>
        <w:contextualSpacing/>
        <w:jc w:val="both"/>
        <w:rPr>
          <w:rFonts w:ascii="Arial" w:eastAsia="Calibri" w:hAnsi="Arial" w:cs="Arial"/>
          <w:sz w:val="20"/>
          <w:szCs w:val="20"/>
        </w:rPr>
      </w:pPr>
      <w:r w:rsidRPr="004A6632">
        <w:rPr>
          <w:rFonts w:ascii="Arial" w:eastAsia="Calibri" w:hAnsi="Arial" w:cs="Arial"/>
          <w:sz w:val="20"/>
          <w:szCs w:val="20"/>
        </w:rPr>
        <w:t xml:space="preserve">Il concorrente allega il </w:t>
      </w:r>
      <w:proofErr w:type="spellStart"/>
      <w:r w:rsidRPr="004A6632">
        <w:rPr>
          <w:rFonts w:ascii="Arial" w:eastAsia="Calibri" w:hAnsi="Arial" w:cs="Arial"/>
          <w:sz w:val="20"/>
          <w:szCs w:val="20"/>
        </w:rPr>
        <w:t>PassOE</w:t>
      </w:r>
      <w:proofErr w:type="spellEnd"/>
      <w:r w:rsidRPr="004A6632">
        <w:rPr>
          <w:rFonts w:ascii="Arial" w:eastAsia="Calibri" w:hAnsi="Arial" w:cs="Arial"/>
          <w:sz w:val="20"/>
          <w:szCs w:val="20"/>
        </w:rPr>
        <w:t>, firmato digitalmente ottenuto tramite il servizio FVOE dell’ANAC.</w:t>
      </w:r>
    </w:p>
    <w:p w14:paraId="4CFEF54B" w14:textId="77777777" w:rsidR="0004355A" w:rsidRDefault="0004355A">
      <w:pPr>
        <w:tabs>
          <w:tab w:val="left" w:pos="567"/>
          <w:tab w:val="left" w:pos="709"/>
        </w:tabs>
        <w:contextualSpacing/>
        <w:jc w:val="both"/>
        <w:rPr>
          <w:rFonts w:ascii="Arial" w:eastAsia="Calibri" w:hAnsi="Arial" w:cs="Arial"/>
          <w:sz w:val="20"/>
          <w:szCs w:val="20"/>
        </w:rPr>
      </w:pPr>
    </w:p>
    <w:p w14:paraId="0F29F86E" w14:textId="77777777"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rPr>
      </w:pPr>
      <w:r>
        <w:rPr>
          <w:rFonts w:ascii="Arial" w:eastAsiaTheme="minorEastAsia" w:hAnsi="Arial" w:cs="Arial"/>
          <w:b/>
          <w:sz w:val="20"/>
          <w:szCs w:val="20"/>
          <w:u w:val="single"/>
          <w:lang w:eastAsia="it-IT"/>
        </w:rPr>
        <w:t>Relazione tecnica descrittiva della fornitura offerta,</w:t>
      </w:r>
      <w:r>
        <w:rPr>
          <w:rFonts w:ascii="Arial" w:eastAsia="Calibri" w:hAnsi="Arial" w:cs="Arial"/>
          <w:b/>
          <w:sz w:val="20"/>
          <w:szCs w:val="20"/>
          <w:u w:val="single"/>
        </w:rPr>
        <w:t xml:space="preserve"> sottoscritta con firma digitale</w:t>
      </w:r>
    </w:p>
    <w:p w14:paraId="582C4869" w14:textId="77777777" w:rsidR="00AE55CA" w:rsidRDefault="00AE55CA">
      <w:pPr>
        <w:pStyle w:val="Paragrafoelenco"/>
        <w:tabs>
          <w:tab w:val="left" w:pos="284"/>
          <w:tab w:val="left" w:pos="567"/>
          <w:tab w:val="left" w:pos="709"/>
        </w:tabs>
        <w:ind w:left="0"/>
        <w:jc w:val="both"/>
        <w:rPr>
          <w:rFonts w:ascii="Arial" w:eastAsia="Calibri" w:hAnsi="Arial" w:cs="Arial"/>
          <w:b/>
          <w:sz w:val="20"/>
          <w:szCs w:val="20"/>
        </w:rPr>
      </w:pPr>
    </w:p>
    <w:p w14:paraId="35E2C3AE" w14:textId="77777777" w:rsidR="00AE55CA" w:rsidRDefault="003B1F75">
      <w:pPr>
        <w:pStyle w:val="Paragrafoelenco"/>
        <w:tabs>
          <w:tab w:val="left" w:pos="284"/>
          <w:tab w:val="left" w:pos="567"/>
          <w:tab w:val="left" w:pos="709"/>
        </w:tabs>
        <w:ind w:left="0"/>
        <w:jc w:val="both"/>
        <w:rPr>
          <w:rFonts w:ascii="Arial" w:eastAsia="Calibri" w:hAnsi="Arial" w:cs="Arial"/>
          <w:bCs/>
          <w:sz w:val="20"/>
          <w:szCs w:val="20"/>
        </w:rPr>
      </w:pPr>
      <w:r>
        <w:rPr>
          <w:rFonts w:ascii="Arial" w:eastAsia="Calibri" w:hAnsi="Arial" w:cs="Arial"/>
          <w:bCs/>
          <w:sz w:val="20"/>
          <w:szCs w:val="20"/>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sia, nel caso di offerta economicamente più vantaggiosa, l’assegnazione del punteggio tecnico di cui alla presente Lettera d’invito.</w:t>
      </w:r>
    </w:p>
    <w:p w14:paraId="5779B464" w14:textId="77777777" w:rsidR="00AE55CA" w:rsidRDefault="003B1F75">
      <w:pPr>
        <w:pStyle w:val="Paragrafoelenco"/>
        <w:tabs>
          <w:tab w:val="left" w:pos="284"/>
          <w:tab w:val="left" w:pos="567"/>
          <w:tab w:val="left" w:pos="709"/>
        </w:tabs>
        <w:ind w:left="0"/>
        <w:jc w:val="both"/>
        <w:rPr>
          <w:rFonts w:ascii="Arial" w:eastAsia="Calibri" w:hAnsi="Arial" w:cs="Arial"/>
          <w:bCs/>
          <w:sz w:val="20"/>
          <w:szCs w:val="20"/>
        </w:rPr>
      </w:pPr>
      <w:r>
        <w:rPr>
          <w:rFonts w:ascii="Arial" w:eastAsia="Calibri" w:hAnsi="Arial" w:cs="Arial"/>
          <w:bCs/>
          <w:sz w:val="20"/>
          <w:szCs w:val="20"/>
        </w:rPr>
        <w:t>Il concorrente,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730A336C" w14:textId="77777777" w:rsidR="00AE55CA" w:rsidRDefault="00AE55CA">
      <w:pPr>
        <w:pStyle w:val="Paragrafoelenco"/>
        <w:tabs>
          <w:tab w:val="left" w:pos="284"/>
          <w:tab w:val="left" w:pos="567"/>
          <w:tab w:val="left" w:pos="709"/>
        </w:tabs>
        <w:ind w:left="0"/>
        <w:jc w:val="both"/>
        <w:rPr>
          <w:rFonts w:ascii="Arial" w:eastAsia="Calibri" w:hAnsi="Arial" w:cs="Arial"/>
          <w:bCs/>
          <w:sz w:val="20"/>
          <w:szCs w:val="20"/>
        </w:rPr>
      </w:pPr>
    </w:p>
    <w:p w14:paraId="6963A0EE" w14:textId="77777777"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u w:val="single"/>
        </w:rPr>
      </w:pPr>
      <w:r>
        <w:rPr>
          <w:rFonts w:ascii="Arial" w:eastAsia="Calibri" w:hAnsi="Arial" w:cs="Arial"/>
          <w:b/>
          <w:sz w:val="20"/>
          <w:szCs w:val="20"/>
          <w:u w:val="single"/>
        </w:rPr>
        <w:t>Offerta economica generata dal Sistema, sottoscritta con firma digitale</w:t>
      </w:r>
    </w:p>
    <w:p w14:paraId="2E21BD7A" w14:textId="77777777" w:rsidR="00AE55CA" w:rsidRDefault="003B1F75">
      <w:pPr>
        <w:pStyle w:val="Paragrafoelenco"/>
        <w:tabs>
          <w:tab w:val="left" w:pos="284"/>
          <w:tab w:val="left" w:pos="567"/>
          <w:tab w:val="left" w:pos="709"/>
        </w:tabs>
        <w:ind w:left="0"/>
        <w:jc w:val="both"/>
        <w:rPr>
          <w:rFonts w:ascii="Arial" w:eastAsia="Calibri" w:hAnsi="Arial" w:cs="Arial"/>
          <w:bCs/>
          <w:sz w:val="20"/>
          <w:szCs w:val="20"/>
        </w:rPr>
      </w:pPr>
      <w:r>
        <w:rPr>
          <w:rFonts w:ascii="Arial" w:eastAsia="Calibri" w:hAnsi="Arial" w:cs="Arial"/>
          <w:bCs/>
          <w:sz w:val="20"/>
          <w:szCs w:val="20"/>
        </w:rPr>
        <w:t>L’Offerta economica deve contenere, oltre all’indicazione del prezzo offerto, gli oneri aziendali concernenti l’adempimento delle disposizioni in materia di salute e sicurezza sui luoghi di lavoro, inclusi nel prezzo offerto;</w:t>
      </w:r>
    </w:p>
    <w:p w14:paraId="5F6EC430" w14:textId="77777777" w:rsidR="00AE55CA" w:rsidRDefault="00AE55CA">
      <w:pPr>
        <w:pStyle w:val="Paragrafoelenco"/>
        <w:tabs>
          <w:tab w:val="left" w:pos="284"/>
          <w:tab w:val="left" w:pos="567"/>
          <w:tab w:val="left" w:pos="709"/>
        </w:tabs>
        <w:ind w:left="0"/>
        <w:jc w:val="both"/>
        <w:rPr>
          <w:rFonts w:ascii="Arial" w:eastAsia="Calibri" w:hAnsi="Arial" w:cs="Arial"/>
          <w:b/>
          <w:sz w:val="20"/>
          <w:szCs w:val="20"/>
        </w:rPr>
      </w:pPr>
      <w:bookmarkStart w:id="36" w:name="_Hlk149221057"/>
    </w:p>
    <w:p w14:paraId="37696198" w14:textId="77777777"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rPr>
      </w:pPr>
      <w:r>
        <w:rPr>
          <w:rFonts w:ascii="Arial" w:eastAsia="Calibri" w:hAnsi="Arial" w:cs="Arial"/>
          <w:b/>
          <w:sz w:val="20"/>
          <w:szCs w:val="20"/>
          <w:u w:val="single"/>
        </w:rPr>
        <w:t xml:space="preserve">Dichiarazione obblighi </w:t>
      </w:r>
      <w:proofErr w:type="spellStart"/>
      <w:r>
        <w:rPr>
          <w:rFonts w:ascii="Arial" w:eastAsia="Calibri" w:hAnsi="Arial" w:cs="Arial"/>
          <w:b/>
          <w:sz w:val="20"/>
          <w:szCs w:val="20"/>
          <w:u w:val="single"/>
        </w:rPr>
        <w:t>assunzionali</w:t>
      </w:r>
      <w:proofErr w:type="spellEnd"/>
      <w:r>
        <w:rPr>
          <w:rFonts w:ascii="Arial" w:eastAsia="Calibri" w:hAnsi="Arial" w:cs="Arial"/>
          <w:b/>
          <w:sz w:val="20"/>
          <w:szCs w:val="20"/>
          <w:u w:val="single"/>
        </w:rPr>
        <w:t>, sottoscritta con firma digitale</w:t>
      </w:r>
    </w:p>
    <w:p w14:paraId="60D1DD3B" w14:textId="77777777" w:rsidR="00AE55CA" w:rsidRDefault="003B1F75">
      <w:pPr>
        <w:tabs>
          <w:tab w:val="left" w:pos="284"/>
          <w:tab w:val="left" w:pos="567"/>
          <w:tab w:val="left" w:pos="709"/>
        </w:tabs>
        <w:jc w:val="both"/>
        <w:rPr>
          <w:rFonts w:ascii="Arial" w:eastAsia="Calibri" w:hAnsi="Arial" w:cs="Arial"/>
          <w:bCs/>
          <w:sz w:val="20"/>
          <w:szCs w:val="20"/>
        </w:rPr>
      </w:pPr>
      <w:r>
        <w:rPr>
          <w:rFonts w:ascii="Arial" w:eastAsia="Calibri" w:hAnsi="Arial" w:cs="Arial"/>
          <w:bCs/>
          <w:sz w:val="20"/>
          <w:szCs w:val="20"/>
        </w:rPr>
        <w:t>La dichiarazione dovrà essere redatta in conformità al modello e dovrà essere sottoscritta con firma digitale.</w:t>
      </w:r>
    </w:p>
    <w:p w14:paraId="6E21188B" w14:textId="77777777" w:rsidR="00AE55CA" w:rsidRDefault="00AE55CA">
      <w:pPr>
        <w:tabs>
          <w:tab w:val="left" w:pos="284"/>
          <w:tab w:val="left" w:pos="567"/>
          <w:tab w:val="left" w:pos="709"/>
        </w:tabs>
        <w:jc w:val="both"/>
        <w:rPr>
          <w:rFonts w:ascii="Arial" w:eastAsia="Calibri" w:hAnsi="Arial" w:cs="Arial"/>
          <w:b/>
          <w:sz w:val="20"/>
          <w:szCs w:val="20"/>
        </w:rPr>
      </w:pPr>
    </w:p>
    <w:p w14:paraId="06B76CDC" w14:textId="77777777"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rPr>
      </w:pPr>
      <w:r>
        <w:rPr>
          <w:rFonts w:ascii="Arial" w:eastAsia="Calibri" w:hAnsi="Arial" w:cs="Arial"/>
          <w:b/>
          <w:sz w:val="20"/>
          <w:szCs w:val="20"/>
          <w:u w:val="single"/>
        </w:rPr>
        <w:t>Dichiarazione titolare effettivo, sottoscritta con firma digitale</w:t>
      </w:r>
    </w:p>
    <w:p w14:paraId="45D7D7D0" w14:textId="77777777" w:rsidR="00AE55CA" w:rsidRDefault="003B1F75">
      <w:pPr>
        <w:tabs>
          <w:tab w:val="left" w:pos="284"/>
          <w:tab w:val="left" w:pos="567"/>
          <w:tab w:val="left" w:pos="709"/>
        </w:tabs>
        <w:jc w:val="both"/>
        <w:rPr>
          <w:rFonts w:ascii="Arial" w:eastAsia="Calibri" w:hAnsi="Arial" w:cs="Arial"/>
          <w:bCs/>
          <w:sz w:val="20"/>
          <w:szCs w:val="20"/>
        </w:rPr>
      </w:pPr>
      <w:r>
        <w:rPr>
          <w:rFonts w:ascii="Arial" w:eastAsia="Calibri" w:hAnsi="Arial" w:cs="Arial"/>
          <w:bCs/>
          <w:sz w:val="20"/>
          <w:szCs w:val="20"/>
        </w:rPr>
        <w:t>La dichiarazione dovrà essere redatta in conformità al modello e dovrà essere sottoscritta con firma digitale.</w:t>
      </w:r>
    </w:p>
    <w:p w14:paraId="047F20A1" w14:textId="77777777" w:rsidR="00AE55CA" w:rsidRDefault="00AE55CA">
      <w:pPr>
        <w:pStyle w:val="Paragrafoelenco"/>
        <w:tabs>
          <w:tab w:val="left" w:pos="284"/>
          <w:tab w:val="left" w:pos="567"/>
          <w:tab w:val="left" w:pos="709"/>
        </w:tabs>
        <w:ind w:left="0"/>
        <w:jc w:val="both"/>
        <w:rPr>
          <w:rFonts w:ascii="Arial" w:eastAsia="Calibri" w:hAnsi="Arial" w:cs="Arial"/>
          <w:bCs/>
          <w:sz w:val="20"/>
          <w:szCs w:val="20"/>
        </w:rPr>
      </w:pPr>
    </w:p>
    <w:p w14:paraId="0BFDE1A1" w14:textId="7F2CB641" w:rsidR="00147745" w:rsidRPr="00147745" w:rsidRDefault="0014774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rPr>
      </w:pPr>
      <w:r>
        <w:rPr>
          <w:rFonts w:ascii="Arial" w:eastAsia="Calibri" w:hAnsi="Arial" w:cs="Arial"/>
          <w:b/>
          <w:sz w:val="20"/>
          <w:szCs w:val="20"/>
          <w:u w:val="single"/>
        </w:rPr>
        <w:t>Dichiarazione assenza conflitto interessi titolare effettivo sottoscritta con firma digitale</w:t>
      </w:r>
    </w:p>
    <w:p w14:paraId="6FE6AAA0" w14:textId="7C76A9EC" w:rsidR="00147745" w:rsidRDefault="00147745" w:rsidP="00147745">
      <w:pPr>
        <w:tabs>
          <w:tab w:val="left" w:pos="284"/>
          <w:tab w:val="left" w:pos="567"/>
          <w:tab w:val="left" w:pos="709"/>
        </w:tabs>
        <w:jc w:val="both"/>
        <w:rPr>
          <w:rFonts w:ascii="Arial" w:eastAsia="Calibri" w:hAnsi="Arial" w:cs="Arial"/>
          <w:bCs/>
          <w:sz w:val="20"/>
          <w:szCs w:val="20"/>
        </w:rPr>
      </w:pPr>
      <w:r w:rsidRPr="00147745">
        <w:rPr>
          <w:rFonts w:ascii="Arial" w:eastAsia="Calibri" w:hAnsi="Arial" w:cs="Arial"/>
          <w:bCs/>
          <w:sz w:val="20"/>
          <w:szCs w:val="20"/>
        </w:rPr>
        <w:t>La dichiarazione dovrà essere redatta in conformità al modello e dovrà essere sottoscritta con firma digitale.</w:t>
      </w:r>
    </w:p>
    <w:p w14:paraId="6A7D0EAB" w14:textId="77777777" w:rsidR="00147745" w:rsidRPr="00A2758A" w:rsidRDefault="00147745" w:rsidP="00147745">
      <w:pPr>
        <w:pStyle w:val="Paragrafoelenco"/>
        <w:tabs>
          <w:tab w:val="left" w:pos="284"/>
          <w:tab w:val="left" w:pos="567"/>
          <w:tab w:val="left" w:pos="709"/>
        </w:tabs>
        <w:ind w:left="0"/>
        <w:jc w:val="both"/>
        <w:rPr>
          <w:rFonts w:ascii="Arial" w:eastAsiaTheme="minorEastAsia" w:hAnsi="Arial" w:cs="Arial"/>
          <w:b/>
          <w:bCs/>
          <w:sz w:val="20"/>
          <w:szCs w:val="20"/>
          <w:highlight w:val="green"/>
          <w:lang w:eastAsia="it-IT"/>
        </w:rPr>
      </w:pPr>
      <w:bookmarkStart w:id="37" w:name="_Hlk148965421"/>
    </w:p>
    <w:p w14:paraId="5AA8B486" w14:textId="77777777" w:rsidR="00147745" w:rsidRPr="00147745" w:rsidRDefault="00147745" w:rsidP="0014774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u w:val="single"/>
        </w:rPr>
      </w:pPr>
      <w:r w:rsidRPr="00147745">
        <w:rPr>
          <w:rFonts w:ascii="Arial" w:eastAsia="Calibri" w:hAnsi="Arial" w:cs="Arial"/>
          <w:b/>
          <w:sz w:val="20"/>
          <w:szCs w:val="20"/>
          <w:u w:val="single"/>
        </w:rPr>
        <w:t>Dichiarazione di cui al DPCM 187/1991</w:t>
      </w:r>
    </w:p>
    <w:p w14:paraId="152262EE" w14:textId="77777777" w:rsidR="00147745" w:rsidRPr="00A72355" w:rsidRDefault="00147745" w:rsidP="00147745">
      <w:pPr>
        <w:tabs>
          <w:tab w:val="left" w:pos="284"/>
          <w:tab w:val="left" w:pos="567"/>
          <w:tab w:val="left" w:pos="709"/>
        </w:tabs>
        <w:jc w:val="both"/>
        <w:rPr>
          <w:rFonts w:ascii="Arial" w:eastAsia="Calibri" w:hAnsi="Arial" w:cs="Arial"/>
          <w:bCs/>
          <w:sz w:val="20"/>
          <w:szCs w:val="20"/>
        </w:rPr>
      </w:pPr>
      <w:r w:rsidRPr="00147745">
        <w:rPr>
          <w:rFonts w:ascii="Arial" w:eastAsia="Calibri" w:hAnsi="Arial" w:cs="Arial"/>
          <w:bCs/>
          <w:sz w:val="20"/>
          <w:szCs w:val="20"/>
        </w:rPr>
        <w:t>La dichiarazione dovrà essere redatta in conformità al modello e dovrà essere sottoscritta con firma digitale.</w:t>
      </w:r>
    </w:p>
    <w:bookmarkEnd w:id="37"/>
    <w:p w14:paraId="264BD16E" w14:textId="77777777" w:rsidR="00147745" w:rsidRPr="00147745" w:rsidRDefault="00147745" w:rsidP="00147745">
      <w:pPr>
        <w:pStyle w:val="Paragrafoelenco"/>
        <w:tabs>
          <w:tab w:val="left" w:pos="284"/>
          <w:tab w:val="left" w:pos="567"/>
          <w:tab w:val="left" w:pos="709"/>
        </w:tabs>
        <w:ind w:left="0"/>
        <w:jc w:val="both"/>
        <w:rPr>
          <w:rFonts w:ascii="Arial" w:eastAsia="Calibri" w:hAnsi="Arial" w:cs="Arial"/>
          <w:b/>
          <w:sz w:val="20"/>
          <w:szCs w:val="20"/>
        </w:rPr>
      </w:pPr>
    </w:p>
    <w:p w14:paraId="1C1380B4" w14:textId="25C589FF"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rPr>
      </w:pPr>
      <w:r>
        <w:rPr>
          <w:rFonts w:ascii="Arial" w:eastAsia="Calibri" w:hAnsi="Arial" w:cs="Arial"/>
          <w:b/>
          <w:sz w:val="20"/>
          <w:szCs w:val="20"/>
          <w:u w:val="single"/>
        </w:rPr>
        <w:t>Dichiarazioni DNSH, sottoscritte con firma digitale</w:t>
      </w:r>
    </w:p>
    <w:p w14:paraId="333D466B" w14:textId="77777777" w:rsidR="00AE55CA" w:rsidRDefault="003B1F75">
      <w:pPr>
        <w:tabs>
          <w:tab w:val="left" w:pos="284"/>
          <w:tab w:val="left" w:pos="567"/>
          <w:tab w:val="left" w:pos="709"/>
        </w:tabs>
        <w:jc w:val="both"/>
        <w:rPr>
          <w:rFonts w:ascii="Arial" w:eastAsia="Calibri" w:hAnsi="Arial" w:cs="Arial"/>
          <w:bCs/>
          <w:sz w:val="20"/>
          <w:szCs w:val="20"/>
        </w:rPr>
      </w:pPr>
      <w:r>
        <w:rPr>
          <w:rFonts w:ascii="Arial" w:eastAsia="Calibri" w:hAnsi="Arial" w:cs="Arial"/>
          <w:bCs/>
          <w:sz w:val="20"/>
          <w:szCs w:val="20"/>
        </w:rPr>
        <w:t>La dichiarazione dovrà essere redatta in conformità al modello e dovrà essere sottoscritta con firma digitale.</w:t>
      </w:r>
    </w:p>
    <w:p w14:paraId="50C34638" w14:textId="77777777" w:rsidR="00AE55CA" w:rsidRDefault="00AE55CA">
      <w:pPr>
        <w:pStyle w:val="Paragrafoelenco"/>
        <w:tabs>
          <w:tab w:val="left" w:pos="284"/>
          <w:tab w:val="left" w:pos="567"/>
          <w:tab w:val="left" w:pos="709"/>
        </w:tabs>
        <w:ind w:left="0"/>
        <w:jc w:val="both"/>
        <w:rPr>
          <w:rFonts w:ascii="Arial" w:eastAsia="Calibri" w:hAnsi="Arial" w:cs="Arial"/>
          <w:b/>
          <w:sz w:val="20"/>
          <w:szCs w:val="20"/>
        </w:rPr>
      </w:pPr>
    </w:p>
    <w:p w14:paraId="6E69B9E4" w14:textId="77777777" w:rsidR="00AE55CA"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u w:val="single"/>
        </w:rPr>
      </w:pPr>
      <w:r>
        <w:rPr>
          <w:rFonts w:ascii="Arial" w:eastAsia="Calibri" w:hAnsi="Arial" w:cs="Arial"/>
          <w:b/>
          <w:sz w:val="20"/>
          <w:szCs w:val="20"/>
          <w:u w:val="single"/>
        </w:rPr>
        <w:t>Copia informatica di avvenuto pagamento contributo ANAC</w:t>
      </w:r>
    </w:p>
    <w:p w14:paraId="690D6114" w14:textId="77777777" w:rsidR="00AE55CA" w:rsidRDefault="003B1F75">
      <w:pPr>
        <w:pStyle w:val="Paragrafoelenco"/>
        <w:tabs>
          <w:tab w:val="left" w:pos="284"/>
          <w:tab w:val="left" w:pos="567"/>
          <w:tab w:val="left" w:pos="709"/>
        </w:tabs>
        <w:ind w:left="0"/>
        <w:rPr>
          <w:rFonts w:ascii="Arial" w:eastAsia="Calibri" w:hAnsi="Arial" w:cs="Arial"/>
          <w:bCs/>
          <w:sz w:val="20"/>
          <w:szCs w:val="20"/>
        </w:rPr>
      </w:pPr>
      <w:r>
        <w:rPr>
          <w:rFonts w:ascii="Arial" w:eastAsia="Calibri" w:hAnsi="Arial" w:cs="Arial"/>
          <w:bCs/>
          <w:sz w:val="20"/>
          <w:szCs w:val="20"/>
        </w:rPr>
        <w:lastRenderedPageBreak/>
        <w:t>Secondo quanto specificato al paragrafo 2.3</w:t>
      </w:r>
    </w:p>
    <w:p w14:paraId="415222D8" w14:textId="77777777" w:rsidR="00AE55CA" w:rsidRDefault="00AE55CA">
      <w:pPr>
        <w:pStyle w:val="Paragrafoelenco"/>
        <w:tabs>
          <w:tab w:val="left" w:pos="284"/>
          <w:tab w:val="left" w:pos="567"/>
          <w:tab w:val="left" w:pos="709"/>
        </w:tabs>
        <w:ind w:left="0"/>
        <w:jc w:val="both"/>
        <w:rPr>
          <w:rFonts w:ascii="Arial" w:eastAsia="Calibri" w:hAnsi="Arial" w:cs="Arial"/>
          <w:b/>
          <w:sz w:val="20"/>
          <w:szCs w:val="20"/>
          <w:u w:val="single"/>
        </w:rPr>
      </w:pPr>
    </w:p>
    <w:p w14:paraId="070F8580" w14:textId="77777777" w:rsidR="00AE55CA" w:rsidRPr="00442936" w:rsidRDefault="003B1F75">
      <w:pPr>
        <w:pStyle w:val="Paragrafoelenco"/>
        <w:numPr>
          <w:ilvl w:val="3"/>
          <w:numId w:val="10"/>
        </w:numPr>
        <w:tabs>
          <w:tab w:val="left" w:pos="284"/>
          <w:tab w:val="left" w:pos="567"/>
          <w:tab w:val="left" w:pos="709"/>
        </w:tabs>
        <w:ind w:left="0" w:firstLine="0"/>
        <w:jc w:val="both"/>
        <w:rPr>
          <w:rFonts w:ascii="Arial" w:eastAsia="Calibri" w:hAnsi="Arial" w:cs="Arial"/>
          <w:b/>
          <w:sz w:val="20"/>
          <w:szCs w:val="20"/>
          <w:u w:val="single"/>
        </w:rPr>
      </w:pPr>
      <w:r w:rsidRPr="00442936">
        <w:rPr>
          <w:rFonts w:ascii="Arial" w:eastAsiaTheme="minorEastAsia" w:hAnsi="Arial" w:cs="Arial"/>
          <w:b/>
          <w:bCs/>
          <w:sz w:val="20"/>
          <w:szCs w:val="20"/>
          <w:lang w:eastAsia="it-IT"/>
        </w:rPr>
        <w:t xml:space="preserve">Dettaglio della stima dei costi della manodopera </w:t>
      </w:r>
      <w:r w:rsidRPr="00442936">
        <w:rPr>
          <w:rFonts w:ascii="Arial" w:eastAsiaTheme="minorEastAsia" w:hAnsi="Arial" w:cs="Arial"/>
          <w:sz w:val="20"/>
          <w:szCs w:val="20"/>
          <w:u w:val="single"/>
          <w:lang w:eastAsia="it-IT"/>
        </w:rPr>
        <w:t>(in caso di fornitura con installazione)</w:t>
      </w:r>
    </w:p>
    <w:p w14:paraId="7981287C" w14:textId="77777777" w:rsidR="00AE55CA" w:rsidRPr="00442936" w:rsidRDefault="003B1F75">
      <w:pPr>
        <w:tabs>
          <w:tab w:val="left" w:pos="284"/>
          <w:tab w:val="left" w:pos="567"/>
          <w:tab w:val="left" w:pos="709"/>
        </w:tabs>
        <w:jc w:val="both"/>
        <w:rPr>
          <w:rFonts w:ascii="Arial" w:eastAsia="Calibri" w:hAnsi="Arial" w:cs="Arial"/>
          <w:bCs/>
          <w:sz w:val="20"/>
          <w:szCs w:val="20"/>
        </w:rPr>
      </w:pPr>
      <w:r w:rsidRPr="00442936">
        <w:rPr>
          <w:rFonts w:ascii="Arial" w:eastAsia="Calibri" w:hAnsi="Arial" w:cs="Arial"/>
          <w:bCs/>
          <w:sz w:val="20"/>
          <w:szCs w:val="20"/>
        </w:rPr>
        <w:t>La dichiarazione dovrà essere redatta in conformità al modello e dovrà essere sottoscritta con firma digitale.</w:t>
      </w:r>
    </w:p>
    <w:p w14:paraId="3AEC3C9F" w14:textId="77777777" w:rsidR="00AE55CA" w:rsidRDefault="00AE55CA">
      <w:pPr>
        <w:tabs>
          <w:tab w:val="left" w:pos="284"/>
          <w:tab w:val="left" w:pos="567"/>
          <w:tab w:val="left" w:pos="709"/>
        </w:tabs>
        <w:jc w:val="both"/>
        <w:rPr>
          <w:rFonts w:ascii="Arial" w:eastAsiaTheme="minorEastAsia" w:hAnsi="Arial" w:cs="Arial"/>
          <w:b/>
          <w:bCs/>
          <w:sz w:val="20"/>
          <w:szCs w:val="20"/>
          <w:highlight w:val="yellow"/>
          <w:lang w:eastAsia="it-IT"/>
        </w:rPr>
      </w:pPr>
    </w:p>
    <w:p w14:paraId="384631D8" w14:textId="77777777" w:rsidR="00AE55CA" w:rsidRDefault="003B1F75">
      <w:pPr>
        <w:pStyle w:val="Paragrafoelenco"/>
        <w:numPr>
          <w:ilvl w:val="3"/>
          <w:numId w:val="10"/>
        </w:numPr>
        <w:tabs>
          <w:tab w:val="left" w:pos="284"/>
          <w:tab w:val="left" w:pos="567"/>
          <w:tab w:val="left" w:pos="709"/>
        </w:tabs>
        <w:ind w:left="0" w:firstLine="0"/>
        <w:jc w:val="both"/>
        <w:rPr>
          <w:rFonts w:ascii="Arial" w:eastAsiaTheme="minorEastAsia" w:hAnsi="Arial" w:cs="Arial"/>
          <w:b/>
          <w:bCs/>
          <w:sz w:val="20"/>
          <w:szCs w:val="20"/>
          <w:lang w:eastAsia="it-IT"/>
        </w:rPr>
      </w:pPr>
      <w:r>
        <w:rPr>
          <w:rFonts w:ascii="Arial" w:eastAsiaTheme="minorEastAsia" w:hAnsi="Arial" w:cs="Arial"/>
          <w:b/>
          <w:bCs/>
          <w:sz w:val="20"/>
          <w:szCs w:val="20"/>
          <w:lang w:eastAsia="it-IT"/>
        </w:rPr>
        <w:t xml:space="preserve">Patto d’integrità </w:t>
      </w:r>
    </w:p>
    <w:p w14:paraId="77F30BF9" w14:textId="77777777" w:rsidR="00AE55CA" w:rsidRDefault="003B1F75">
      <w:pPr>
        <w:tabs>
          <w:tab w:val="left" w:pos="284"/>
          <w:tab w:val="left" w:pos="567"/>
          <w:tab w:val="left" w:pos="709"/>
        </w:tabs>
        <w:jc w:val="both"/>
        <w:rPr>
          <w:rFonts w:ascii="Arial" w:eastAsia="Calibri" w:hAnsi="Arial" w:cs="Arial"/>
          <w:bCs/>
          <w:sz w:val="20"/>
          <w:szCs w:val="20"/>
        </w:rPr>
      </w:pPr>
      <w:r>
        <w:rPr>
          <w:rFonts w:ascii="Arial" w:eastAsia="Calibri" w:hAnsi="Arial" w:cs="Arial"/>
          <w:bCs/>
          <w:sz w:val="20"/>
          <w:szCs w:val="20"/>
        </w:rPr>
        <w:t>La dichiarazione dovrà essere redatta in conformità al modello e dovrà essere sottoscritta con firma digitale.</w:t>
      </w:r>
    </w:p>
    <w:p w14:paraId="421F4DDC" w14:textId="77777777" w:rsidR="00AE55CA" w:rsidRDefault="00AE55CA">
      <w:pPr>
        <w:tabs>
          <w:tab w:val="left" w:pos="284"/>
          <w:tab w:val="left" w:pos="567"/>
          <w:tab w:val="left" w:pos="709"/>
        </w:tabs>
        <w:jc w:val="both"/>
        <w:rPr>
          <w:rFonts w:ascii="Arial" w:eastAsia="Calibri" w:hAnsi="Arial" w:cs="Arial"/>
          <w:b/>
          <w:bCs/>
          <w:sz w:val="20"/>
          <w:szCs w:val="20"/>
        </w:rPr>
      </w:pPr>
    </w:p>
    <w:p w14:paraId="45FADB3F" w14:textId="77777777" w:rsidR="00AE55CA" w:rsidRDefault="003B1F75">
      <w:pPr>
        <w:pStyle w:val="Paragrafoelenco"/>
        <w:numPr>
          <w:ilvl w:val="3"/>
          <w:numId w:val="10"/>
        </w:numPr>
        <w:tabs>
          <w:tab w:val="left" w:pos="284"/>
        </w:tabs>
        <w:ind w:left="0" w:firstLine="0"/>
        <w:rPr>
          <w:rFonts w:ascii="Arial" w:eastAsiaTheme="minorEastAsia" w:hAnsi="Arial" w:cs="Arial"/>
          <w:b/>
          <w:bCs/>
          <w:sz w:val="20"/>
          <w:szCs w:val="20"/>
          <w:lang w:eastAsia="it-IT"/>
        </w:rPr>
      </w:pPr>
      <w:r>
        <w:rPr>
          <w:rFonts w:ascii="Arial" w:eastAsiaTheme="minorEastAsia" w:hAnsi="Arial" w:cs="Arial"/>
          <w:b/>
          <w:bCs/>
          <w:sz w:val="20"/>
          <w:szCs w:val="20"/>
          <w:lang w:eastAsia="it-IT"/>
        </w:rPr>
        <w:t xml:space="preserve">Comunicazione c/c dedicato ai sensi dell’art. 3 comma 7 della Legge 136/2010 e </w:t>
      </w:r>
      <w:proofErr w:type="spellStart"/>
      <w:r>
        <w:rPr>
          <w:rFonts w:ascii="Arial" w:eastAsiaTheme="minorEastAsia" w:hAnsi="Arial" w:cs="Arial"/>
          <w:b/>
          <w:bCs/>
          <w:sz w:val="20"/>
          <w:szCs w:val="20"/>
          <w:lang w:eastAsia="it-IT"/>
        </w:rPr>
        <w:t>s.m.i.</w:t>
      </w:r>
      <w:proofErr w:type="spellEnd"/>
    </w:p>
    <w:p w14:paraId="43B9D00F" w14:textId="77777777" w:rsidR="00AE55CA" w:rsidRDefault="003B1F75">
      <w:pPr>
        <w:tabs>
          <w:tab w:val="left" w:pos="284"/>
          <w:tab w:val="left" w:pos="567"/>
          <w:tab w:val="left" w:pos="709"/>
        </w:tabs>
        <w:jc w:val="both"/>
        <w:rPr>
          <w:rFonts w:ascii="Arial" w:eastAsia="Calibri" w:hAnsi="Arial" w:cs="Arial"/>
          <w:bCs/>
          <w:sz w:val="20"/>
          <w:szCs w:val="20"/>
        </w:rPr>
      </w:pPr>
      <w:r>
        <w:rPr>
          <w:rFonts w:ascii="Arial" w:eastAsia="Calibri" w:hAnsi="Arial" w:cs="Arial"/>
          <w:bCs/>
          <w:sz w:val="20"/>
          <w:szCs w:val="20"/>
        </w:rPr>
        <w:t>La dichiarazione dovrà essere redatta in conformità al modello e dovrà essere sottoscritta con firma digitale.</w:t>
      </w:r>
    </w:p>
    <w:p w14:paraId="4A6FB6ED" w14:textId="77777777" w:rsidR="00AE55CA" w:rsidRDefault="00AE55CA">
      <w:pPr>
        <w:pStyle w:val="Paragrafoelenco"/>
        <w:tabs>
          <w:tab w:val="left" w:pos="284"/>
          <w:tab w:val="left" w:pos="567"/>
          <w:tab w:val="left" w:pos="709"/>
        </w:tabs>
        <w:ind w:left="0"/>
        <w:jc w:val="both"/>
        <w:rPr>
          <w:rFonts w:ascii="Arial" w:eastAsiaTheme="minorEastAsia" w:hAnsi="Arial" w:cs="Arial"/>
          <w:b/>
          <w:bCs/>
          <w:sz w:val="20"/>
          <w:szCs w:val="20"/>
          <w:lang w:eastAsia="it-IT"/>
        </w:rPr>
      </w:pPr>
    </w:p>
    <w:p w14:paraId="3AC97605" w14:textId="77777777" w:rsidR="00AE55CA" w:rsidRDefault="003B1F75">
      <w:pPr>
        <w:pStyle w:val="Paragrafoelenco"/>
        <w:numPr>
          <w:ilvl w:val="3"/>
          <w:numId w:val="10"/>
        </w:numPr>
        <w:tabs>
          <w:tab w:val="left" w:pos="284"/>
          <w:tab w:val="left" w:pos="567"/>
          <w:tab w:val="left" w:pos="709"/>
        </w:tabs>
        <w:ind w:left="0" w:firstLine="0"/>
        <w:jc w:val="both"/>
        <w:rPr>
          <w:rFonts w:ascii="Arial" w:eastAsiaTheme="minorEastAsia" w:hAnsi="Arial" w:cs="Arial"/>
          <w:b/>
          <w:bCs/>
          <w:sz w:val="20"/>
          <w:szCs w:val="20"/>
          <w:lang w:eastAsia="it-IT"/>
        </w:rPr>
      </w:pPr>
      <w:r>
        <w:rPr>
          <w:rFonts w:ascii="Arial" w:eastAsiaTheme="minorEastAsia" w:hAnsi="Arial" w:cs="Arial"/>
          <w:b/>
          <w:bCs/>
          <w:sz w:val="20"/>
          <w:szCs w:val="20"/>
          <w:lang w:eastAsia="it-IT"/>
        </w:rPr>
        <w:t>Copia di un documento di identità del sottoscrittore</w:t>
      </w:r>
      <w:r>
        <w:rPr>
          <w:rFonts w:ascii="Arial" w:eastAsiaTheme="minorEastAsia" w:hAnsi="Arial" w:cs="Arial"/>
          <w:sz w:val="20"/>
          <w:szCs w:val="20"/>
          <w:lang w:eastAsia="it-IT"/>
        </w:rPr>
        <w:t>, in corso di validità (nel caso di operatori economici stranieri sprovvisti di firma digitale)</w:t>
      </w:r>
    </w:p>
    <w:bookmarkEnd w:id="36"/>
    <w:p w14:paraId="5DC16213" w14:textId="77777777" w:rsidR="00AE55CA" w:rsidRDefault="00AE55CA">
      <w:pPr>
        <w:tabs>
          <w:tab w:val="left" w:pos="284"/>
          <w:tab w:val="left" w:pos="567"/>
          <w:tab w:val="left" w:pos="709"/>
        </w:tabs>
        <w:contextualSpacing/>
        <w:jc w:val="both"/>
        <w:rPr>
          <w:rFonts w:ascii="Arial" w:eastAsiaTheme="minorEastAsia" w:hAnsi="Arial" w:cs="Arial"/>
          <w:sz w:val="20"/>
          <w:szCs w:val="20"/>
          <w:lang w:eastAsia="it-IT"/>
        </w:rPr>
      </w:pPr>
    </w:p>
    <w:p w14:paraId="5EDC5EF3" w14:textId="77777777" w:rsidR="00AE55CA" w:rsidRDefault="003B1F75">
      <w:pPr>
        <w:pStyle w:val="Titolo1"/>
        <w:rPr>
          <w:rFonts w:ascii="Arial" w:eastAsiaTheme="minorEastAsia" w:hAnsi="Arial" w:cs="Arial"/>
          <w:lang w:eastAsia="it-IT"/>
        </w:rPr>
      </w:pPr>
      <w:bookmarkStart w:id="38" w:name="_Toc127539105"/>
      <w:r>
        <w:rPr>
          <w:rFonts w:ascii="Arial" w:eastAsiaTheme="minorEastAsia" w:hAnsi="Arial" w:cs="Arial"/>
          <w:lang w:eastAsia="it-IT"/>
        </w:rPr>
        <w:t>CRITERIO DI AGGIUDICAZIONE</w:t>
      </w:r>
      <w:bookmarkEnd w:id="38"/>
      <w:r>
        <w:rPr>
          <w:rFonts w:ascii="Arial" w:eastAsiaTheme="minorEastAsia" w:hAnsi="Arial" w:cs="Arial"/>
          <w:lang w:eastAsia="it-IT"/>
        </w:rPr>
        <w:t xml:space="preserve"> </w:t>
      </w:r>
    </w:p>
    <w:p w14:paraId="47336745" w14:textId="77777777" w:rsidR="00AE55CA" w:rsidRDefault="00AE55CA">
      <w:pPr>
        <w:contextualSpacing/>
        <w:rPr>
          <w:rFonts w:ascii="Arial" w:hAnsi="Arial" w:cs="Arial"/>
          <w:sz w:val="20"/>
          <w:szCs w:val="20"/>
          <w:lang w:eastAsia="it-IT"/>
        </w:rPr>
      </w:pPr>
    </w:p>
    <w:p w14:paraId="1A0D977D" w14:textId="77777777" w:rsidR="00AE55CA" w:rsidRPr="00442936" w:rsidRDefault="003B1F75">
      <w:pPr>
        <w:contextualSpacing/>
        <w:rPr>
          <w:rFonts w:ascii="Arial" w:hAnsi="Arial" w:cs="Arial"/>
          <w:sz w:val="20"/>
          <w:szCs w:val="20"/>
          <w:lang w:eastAsia="it-IT"/>
        </w:rPr>
      </w:pPr>
      <w:r w:rsidRPr="00442936">
        <w:rPr>
          <w:rFonts w:ascii="Arial" w:hAnsi="Arial" w:cs="Arial"/>
          <w:sz w:val="20"/>
          <w:szCs w:val="20"/>
          <w:lang w:eastAsia="it-IT"/>
        </w:rPr>
        <w:t>Il criterio di aggiudicazione dell’appalto è l’offerta economicamente più vantaggiosa individuata sulla base del miglior rapporto qualità/prezzo, ai sensi dell’art. 108, comma 2, del Nuovo Codice.</w:t>
      </w:r>
    </w:p>
    <w:p w14:paraId="16794C96" w14:textId="77777777" w:rsidR="00AE55CA" w:rsidRPr="00442936" w:rsidRDefault="00AE55CA">
      <w:pPr>
        <w:contextualSpacing/>
        <w:rPr>
          <w:rFonts w:ascii="Arial" w:hAnsi="Arial" w:cs="Arial"/>
          <w:sz w:val="20"/>
          <w:szCs w:val="20"/>
          <w:lang w:eastAsia="it-IT"/>
        </w:rPr>
      </w:pPr>
    </w:p>
    <w:p w14:paraId="467BD67B" w14:textId="77777777" w:rsidR="00AE55CA" w:rsidRPr="00442936" w:rsidRDefault="003B1F75">
      <w:pPr>
        <w:contextualSpacing/>
        <w:rPr>
          <w:rFonts w:ascii="Arial" w:hAnsi="Arial" w:cs="Arial"/>
          <w:sz w:val="20"/>
          <w:szCs w:val="20"/>
          <w:lang w:eastAsia="it-IT"/>
        </w:rPr>
      </w:pPr>
      <w:r w:rsidRPr="00442936">
        <w:rPr>
          <w:rFonts w:ascii="Arial" w:hAnsi="Arial" w:cs="Arial"/>
          <w:sz w:val="20"/>
          <w:szCs w:val="20"/>
          <w:lang w:eastAsia="it-IT"/>
        </w:rPr>
        <w:t>La valutazione dell’offerta tecnica e dell’offerta economica sarà effettuata in base ai seguenti punteggi:</w:t>
      </w:r>
    </w:p>
    <w:p w14:paraId="17E00B2C" w14:textId="77777777" w:rsidR="00AE55CA" w:rsidRPr="00442936" w:rsidRDefault="00AE55CA">
      <w:pPr>
        <w:spacing w:after="120"/>
        <w:ind w:firstLine="340"/>
        <w:jc w:val="both"/>
        <w:rPr>
          <w:rFonts w:ascii="Arial" w:eastAsiaTheme="minorEastAsia" w:hAnsi="Arial" w:cs="Arial"/>
          <w:sz w:val="20"/>
          <w:szCs w:val="20"/>
          <w:lang w:eastAsia="it-IT"/>
        </w:rPr>
      </w:pPr>
    </w:p>
    <w:tbl>
      <w:tblPr>
        <w:tblW w:w="5000" w:type="pct"/>
        <w:tblLayout w:type="fixed"/>
        <w:tblLook w:val="04A0" w:firstRow="1" w:lastRow="0" w:firstColumn="1" w:lastColumn="0" w:noHBand="0" w:noVBand="1"/>
      </w:tblPr>
      <w:tblGrid>
        <w:gridCol w:w="4960"/>
        <w:gridCol w:w="4957"/>
      </w:tblGrid>
      <w:tr w:rsidR="00AE55CA" w:rsidRPr="00442936" w14:paraId="479378CA" w14:textId="77777777">
        <w:tc>
          <w:tcPr>
            <w:tcW w:w="4965" w:type="dxa"/>
            <w:tcBorders>
              <w:top w:val="single" w:sz="4" w:space="0" w:color="000000"/>
              <w:left w:val="single" w:sz="4" w:space="0" w:color="000000"/>
              <w:bottom w:val="single" w:sz="4" w:space="0" w:color="000000"/>
              <w:right w:val="single" w:sz="4" w:space="0" w:color="000000"/>
            </w:tcBorders>
            <w:shd w:val="clear" w:color="auto" w:fill="D9D9D9"/>
          </w:tcPr>
          <w:p w14:paraId="09194C56" w14:textId="77777777" w:rsidR="00AE55CA" w:rsidRPr="00442936" w:rsidRDefault="00AE55CA">
            <w:pPr>
              <w:widowControl w:val="0"/>
              <w:contextualSpacing/>
              <w:jc w:val="both"/>
              <w:rPr>
                <w:rFonts w:ascii="Arial" w:hAnsi="Arial" w:cs="Arial"/>
                <w:i/>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D9D9D9"/>
          </w:tcPr>
          <w:p w14:paraId="2A923F4F" w14:textId="77777777" w:rsidR="00AE55CA" w:rsidRPr="00442936" w:rsidRDefault="003B1F75">
            <w:pPr>
              <w:widowControl w:val="0"/>
              <w:contextualSpacing/>
              <w:jc w:val="center"/>
              <w:rPr>
                <w:rFonts w:ascii="Arial" w:hAnsi="Arial" w:cs="Arial"/>
                <w:b/>
                <w:sz w:val="20"/>
                <w:szCs w:val="20"/>
              </w:rPr>
            </w:pPr>
            <w:r w:rsidRPr="00442936">
              <w:rPr>
                <w:rFonts w:ascii="Arial" w:eastAsia="Arial" w:hAnsi="Arial" w:cs="Arial"/>
                <w:b/>
                <w:sz w:val="20"/>
                <w:szCs w:val="20"/>
                <w:lang w:eastAsia="it-IT" w:bidi="it-IT"/>
              </w:rPr>
              <w:t>PUNTEGGIO MASSIMO</w:t>
            </w:r>
          </w:p>
        </w:tc>
      </w:tr>
      <w:tr w:rsidR="00AE55CA" w:rsidRPr="00442936" w14:paraId="00A514E9" w14:textId="77777777">
        <w:tc>
          <w:tcPr>
            <w:tcW w:w="4965" w:type="dxa"/>
            <w:tcBorders>
              <w:top w:val="single" w:sz="4" w:space="0" w:color="000000"/>
              <w:left w:val="single" w:sz="4" w:space="0" w:color="000000"/>
              <w:bottom w:val="single" w:sz="4" w:space="0" w:color="000000"/>
              <w:right w:val="single" w:sz="4" w:space="0" w:color="000000"/>
            </w:tcBorders>
          </w:tcPr>
          <w:p w14:paraId="7F8DB4F8"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Offerta tecnica</w:t>
            </w:r>
          </w:p>
        </w:tc>
        <w:tc>
          <w:tcPr>
            <w:tcW w:w="4961" w:type="dxa"/>
            <w:tcBorders>
              <w:top w:val="single" w:sz="4" w:space="0" w:color="000000"/>
              <w:left w:val="single" w:sz="4" w:space="0" w:color="000000"/>
              <w:bottom w:val="single" w:sz="4" w:space="0" w:color="000000"/>
              <w:right w:val="single" w:sz="4" w:space="0" w:color="000000"/>
            </w:tcBorders>
          </w:tcPr>
          <w:p w14:paraId="7A649B41"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70</w:t>
            </w:r>
          </w:p>
        </w:tc>
      </w:tr>
      <w:tr w:rsidR="00AE55CA" w:rsidRPr="00442936" w14:paraId="7A250EEF" w14:textId="77777777">
        <w:tc>
          <w:tcPr>
            <w:tcW w:w="4965" w:type="dxa"/>
            <w:tcBorders>
              <w:top w:val="single" w:sz="4" w:space="0" w:color="000000"/>
              <w:left w:val="single" w:sz="4" w:space="0" w:color="000000"/>
              <w:bottom w:val="single" w:sz="4" w:space="0" w:color="000000"/>
              <w:right w:val="single" w:sz="4" w:space="0" w:color="000000"/>
            </w:tcBorders>
          </w:tcPr>
          <w:p w14:paraId="581FF1B4"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Offerta economica</w:t>
            </w:r>
          </w:p>
        </w:tc>
        <w:tc>
          <w:tcPr>
            <w:tcW w:w="4961" w:type="dxa"/>
            <w:tcBorders>
              <w:top w:val="single" w:sz="4" w:space="0" w:color="000000"/>
              <w:left w:val="single" w:sz="4" w:space="0" w:color="000000"/>
              <w:bottom w:val="single" w:sz="4" w:space="0" w:color="000000"/>
              <w:right w:val="single" w:sz="4" w:space="0" w:color="000000"/>
            </w:tcBorders>
          </w:tcPr>
          <w:p w14:paraId="5C887609"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30</w:t>
            </w:r>
          </w:p>
        </w:tc>
      </w:tr>
      <w:tr w:rsidR="00AE55CA" w:rsidRPr="00442936" w14:paraId="38B63B37" w14:textId="77777777">
        <w:tc>
          <w:tcPr>
            <w:tcW w:w="4965" w:type="dxa"/>
            <w:tcBorders>
              <w:top w:val="single" w:sz="4" w:space="0" w:color="000000"/>
              <w:left w:val="single" w:sz="4" w:space="0" w:color="000000"/>
              <w:bottom w:val="single" w:sz="4" w:space="0" w:color="000000"/>
              <w:right w:val="single" w:sz="4" w:space="0" w:color="000000"/>
            </w:tcBorders>
            <w:shd w:val="clear" w:color="auto" w:fill="D9D9D9"/>
          </w:tcPr>
          <w:p w14:paraId="7ABAD497"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TOTALE</w:t>
            </w:r>
          </w:p>
        </w:tc>
        <w:tc>
          <w:tcPr>
            <w:tcW w:w="4961" w:type="dxa"/>
            <w:tcBorders>
              <w:top w:val="single" w:sz="4" w:space="0" w:color="000000"/>
              <w:left w:val="single" w:sz="4" w:space="0" w:color="000000"/>
              <w:bottom w:val="single" w:sz="4" w:space="0" w:color="000000"/>
              <w:right w:val="single" w:sz="4" w:space="0" w:color="000000"/>
            </w:tcBorders>
            <w:shd w:val="clear" w:color="auto" w:fill="D9D9D9"/>
          </w:tcPr>
          <w:p w14:paraId="6C7AA91A" w14:textId="77777777" w:rsidR="00AE55CA" w:rsidRPr="00442936" w:rsidRDefault="003B1F75">
            <w:pPr>
              <w:widowControl w:val="0"/>
              <w:contextualSpacing/>
              <w:jc w:val="center"/>
              <w:rPr>
                <w:rFonts w:ascii="Arial" w:eastAsia="Arial" w:hAnsi="Arial" w:cs="Arial"/>
                <w:sz w:val="20"/>
                <w:szCs w:val="20"/>
                <w:lang w:eastAsia="it-IT" w:bidi="it-IT"/>
              </w:rPr>
            </w:pPr>
            <w:r w:rsidRPr="00442936">
              <w:rPr>
                <w:rFonts w:ascii="Arial" w:eastAsia="Arial" w:hAnsi="Arial" w:cs="Arial"/>
                <w:sz w:val="20"/>
                <w:szCs w:val="20"/>
                <w:lang w:eastAsia="it-IT" w:bidi="it-IT"/>
              </w:rPr>
              <w:t>100</w:t>
            </w:r>
          </w:p>
        </w:tc>
      </w:tr>
    </w:tbl>
    <w:p w14:paraId="420A6EB1" w14:textId="77777777" w:rsidR="00AE55CA" w:rsidRPr="00442936" w:rsidRDefault="00AE55CA">
      <w:pPr>
        <w:pStyle w:val="Corpotesto"/>
        <w:contextualSpacing/>
        <w:jc w:val="both"/>
        <w:rPr>
          <w:rFonts w:cs="Arial"/>
          <w:b/>
          <w:bCs/>
          <w:sz w:val="20"/>
          <w:szCs w:val="20"/>
        </w:rPr>
      </w:pPr>
    </w:p>
    <w:p w14:paraId="2545619B" w14:textId="77777777" w:rsidR="00AE55CA" w:rsidRPr="00442936" w:rsidRDefault="003B1F75">
      <w:pPr>
        <w:pStyle w:val="Corpotesto"/>
        <w:contextualSpacing/>
        <w:jc w:val="both"/>
        <w:rPr>
          <w:rFonts w:cs="Arial"/>
          <w:b/>
          <w:bCs/>
          <w:sz w:val="20"/>
          <w:szCs w:val="20"/>
        </w:rPr>
      </w:pPr>
      <w:r w:rsidRPr="00442936">
        <w:rPr>
          <w:rFonts w:cs="Arial"/>
          <w:b/>
          <w:bCs/>
          <w:sz w:val="20"/>
          <w:szCs w:val="20"/>
        </w:rPr>
        <w:t>11.1 Valutazione dell’offerta tecnica</w:t>
      </w:r>
    </w:p>
    <w:p w14:paraId="4CB34AFC" w14:textId="77777777" w:rsidR="00442936" w:rsidRDefault="00442936">
      <w:pPr>
        <w:pStyle w:val="Corpotesto"/>
        <w:contextualSpacing/>
        <w:jc w:val="both"/>
        <w:rPr>
          <w:rFonts w:cs="Arial"/>
          <w:b/>
          <w:bCs/>
          <w:sz w:val="20"/>
          <w:szCs w:val="20"/>
          <w:highlight w:val="cyan"/>
        </w:rPr>
      </w:pPr>
    </w:p>
    <w:p w14:paraId="2ACF0C6A" w14:textId="77777777" w:rsidR="00AE55CA" w:rsidRDefault="003B1F75">
      <w:pPr>
        <w:pStyle w:val="Corpotesto"/>
        <w:contextualSpacing/>
        <w:jc w:val="both"/>
        <w:rPr>
          <w:rFonts w:cs="Arial"/>
          <w:sz w:val="20"/>
          <w:szCs w:val="20"/>
        </w:rPr>
      </w:pPr>
      <w:r>
        <w:rPr>
          <w:rFonts w:cs="Arial"/>
          <w:sz w:val="20"/>
          <w:szCs w:val="20"/>
        </w:rPr>
        <w:t>Il punteggio dell’offerta tecnica è attribuito sulla base dei criteri di valutazione elencati nella sottostante tabella con la relativa ripartizione dei punteggi.</w:t>
      </w:r>
    </w:p>
    <w:p w14:paraId="641BF979" w14:textId="77777777" w:rsidR="00AE55CA" w:rsidRDefault="00AE55CA">
      <w:pPr>
        <w:pStyle w:val="Corpotesto"/>
        <w:contextualSpacing/>
        <w:jc w:val="both"/>
        <w:rPr>
          <w:rFonts w:cs="Arial"/>
          <w:sz w:val="20"/>
          <w:szCs w:val="20"/>
          <w:highlight w:val="cyan"/>
        </w:rPr>
      </w:pPr>
    </w:p>
    <w:p w14:paraId="203E954A" w14:textId="77777777" w:rsidR="00AE55CA" w:rsidRDefault="003B1F75">
      <w:pPr>
        <w:pStyle w:val="Corpotesto"/>
        <w:contextualSpacing/>
        <w:jc w:val="both"/>
        <w:rPr>
          <w:rFonts w:cs="Arial"/>
          <w:sz w:val="20"/>
          <w:szCs w:val="20"/>
        </w:rPr>
      </w:pPr>
      <w:r>
        <w:rPr>
          <w:rFonts w:cs="Arial"/>
          <w:sz w:val="20"/>
          <w:szCs w:val="20"/>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1BF1F4CD" w14:textId="581D1B4E" w:rsidR="00AE55CA" w:rsidRDefault="003B1F75">
      <w:pPr>
        <w:contextualSpacing/>
        <w:jc w:val="both"/>
        <w:rPr>
          <w:rFonts w:ascii="Arial" w:hAnsi="Arial" w:cs="Arial"/>
          <w:b/>
          <w:i/>
          <w:sz w:val="20"/>
          <w:szCs w:val="20"/>
        </w:rPr>
      </w:pPr>
      <w:r>
        <w:rPr>
          <w:rFonts w:ascii="Arial" w:hAnsi="Arial" w:cs="Arial"/>
          <w:b/>
          <w:i/>
          <w:sz w:val="20"/>
          <w:szCs w:val="20"/>
        </w:rPr>
        <w:t>Tabella dei criteri tabellari (T) di valutazione dell’offerta tecnica:</w:t>
      </w:r>
    </w:p>
    <w:p w14:paraId="2C4929CD" w14:textId="77777777" w:rsidR="00AE55CA" w:rsidRDefault="00AE55CA">
      <w:pPr>
        <w:contextualSpacing/>
        <w:jc w:val="both"/>
        <w:rPr>
          <w:rFonts w:ascii="Arial" w:hAnsi="Arial" w:cs="Arial"/>
          <w:b/>
          <w:i/>
          <w:sz w:val="6"/>
          <w:szCs w:val="20"/>
        </w:rPr>
      </w:pPr>
    </w:p>
    <w:tbl>
      <w:tblPr>
        <w:tblW w:w="5000" w:type="pct"/>
        <w:tblInd w:w="-10" w:type="dxa"/>
        <w:tblLayout w:type="fixed"/>
        <w:tblCellMar>
          <w:left w:w="70" w:type="dxa"/>
          <w:right w:w="70" w:type="dxa"/>
        </w:tblCellMar>
        <w:tblLook w:val="04A0" w:firstRow="1" w:lastRow="0" w:firstColumn="1" w:lastColumn="0" w:noHBand="0" w:noVBand="1"/>
      </w:tblPr>
      <w:tblGrid>
        <w:gridCol w:w="341"/>
        <w:gridCol w:w="2022"/>
        <w:gridCol w:w="634"/>
        <w:gridCol w:w="430"/>
        <w:gridCol w:w="4950"/>
        <w:gridCol w:w="1540"/>
      </w:tblGrid>
      <w:tr w:rsidR="00AE55CA" w14:paraId="147A83D0" w14:textId="77777777">
        <w:trPr>
          <w:cantSplit/>
          <w:trHeight w:val="20"/>
        </w:trPr>
        <w:tc>
          <w:tcPr>
            <w:tcW w:w="342"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0DD56256"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n°</w:t>
            </w:r>
          </w:p>
        </w:tc>
        <w:tc>
          <w:tcPr>
            <w:tcW w:w="202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E2A2DF2"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criteri di valutazione</w:t>
            </w:r>
          </w:p>
        </w:tc>
        <w:tc>
          <w:tcPr>
            <w:tcW w:w="63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331794D"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punti max</w:t>
            </w:r>
          </w:p>
        </w:tc>
        <w:tc>
          <w:tcPr>
            <w:tcW w:w="430"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C075763" w14:textId="77777777" w:rsidR="00AE55CA" w:rsidRDefault="00AE55CA">
            <w:pPr>
              <w:widowControl w:val="0"/>
              <w:contextualSpacing/>
              <w:jc w:val="center"/>
              <w:rPr>
                <w:rFonts w:ascii="Arial" w:hAnsi="Arial" w:cs="Arial"/>
                <w:smallCaps/>
                <w:sz w:val="20"/>
                <w:szCs w:val="20"/>
              </w:rPr>
            </w:pPr>
          </w:p>
        </w:tc>
        <w:tc>
          <w:tcPr>
            <w:tcW w:w="4955"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0B057B2"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sub-criteri di valutazione</w:t>
            </w:r>
          </w:p>
        </w:tc>
        <w:tc>
          <w:tcPr>
            <w:tcW w:w="154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820FC44"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punti T max</w:t>
            </w:r>
          </w:p>
        </w:tc>
      </w:tr>
      <w:tr w:rsidR="00AE55CA" w14:paraId="17A48D09" w14:textId="77777777">
        <w:trPr>
          <w:cantSplit/>
          <w:trHeight w:val="20"/>
        </w:trPr>
        <w:tc>
          <w:tcPr>
            <w:tcW w:w="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1F8480" w14:textId="77777777" w:rsidR="00AE55CA" w:rsidRDefault="003B1F75">
            <w:pPr>
              <w:widowControl w:val="0"/>
              <w:contextualSpacing/>
              <w:jc w:val="center"/>
              <w:rPr>
                <w:rFonts w:ascii="Arial" w:hAnsi="Arial" w:cs="Arial"/>
                <w:b/>
                <w:bCs/>
                <w:smallCaps/>
                <w:sz w:val="20"/>
                <w:szCs w:val="20"/>
              </w:rPr>
            </w:pPr>
            <w:r>
              <w:rPr>
                <w:rFonts w:ascii="Arial" w:hAnsi="Arial" w:cs="Arial"/>
                <w:b/>
                <w:bCs/>
                <w:smallCaps/>
                <w:sz w:val="20"/>
                <w:szCs w:val="20"/>
              </w:rPr>
              <w:t>1</w:t>
            </w:r>
          </w:p>
        </w:tc>
        <w:tc>
          <w:tcPr>
            <w:tcW w:w="2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2AF658"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Pressione di vuoto in zona UHV</w:t>
            </w:r>
          </w:p>
        </w:tc>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39719F"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18</w:t>
            </w: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8D0EE"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1.1</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41114"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10-9 a 10-10 escluso</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00535"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9</w:t>
            </w:r>
          </w:p>
        </w:tc>
      </w:tr>
      <w:tr w:rsidR="00AE55CA" w14:paraId="0B4D9DD6" w14:textId="77777777">
        <w:trPr>
          <w:cantSplit/>
          <w:trHeight w:val="20"/>
        </w:trPr>
        <w:tc>
          <w:tcPr>
            <w:tcW w:w="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C35063" w14:textId="77777777" w:rsidR="00AE55CA" w:rsidRDefault="00AE55CA">
            <w:pPr>
              <w:widowControl w:val="0"/>
              <w:contextualSpacing/>
              <w:jc w:val="center"/>
              <w:rPr>
                <w:rFonts w:ascii="Arial" w:hAnsi="Arial" w:cs="Arial"/>
                <w:b/>
                <w:bCs/>
                <w:smallCaps/>
                <w:sz w:val="20"/>
                <w:szCs w:val="20"/>
              </w:rPr>
            </w:pPr>
          </w:p>
        </w:tc>
        <w:tc>
          <w:tcPr>
            <w:tcW w:w="2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FAFB2" w14:textId="77777777" w:rsidR="00AE55CA" w:rsidRDefault="00AE55CA">
            <w:pPr>
              <w:widowControl w:val="0"/>
              <w:contextualSpacing/>
              <w:rPr>
                <w:rFonts w:ascii="Arial" w:hAnsi="Arial" w:cs="Arial"/>
                <w:smallCaps/>
                <w:sz w:val="20"/>
                <w:szCs w:val="20"/>
              </w:rPr>
            </w:pPr>
          </w:p>
        </w:tc>
        <w:tc>
          <w:tcPr>
            <w:tcW w:w="6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40F51" w14:textId="77777777" w:rsidR="00AE55CA" w:rsidRDefault="00AE55CA">
            <w:pPr>
              <w:widowControl w:val="0"/>
              <w:contextualSpacing/>
              <w:jc w:val="center"/>
              <w:rPr>
                <w:rFonts w:ascii="Arial" w:hAnsi="Arial" w:cs="Arial"/>
                <w:smallCaps/>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C4D20"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1.2</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8F07"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10-10 a 10-11 o minore</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6E78B"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18</w:t>
            </w:r>
          </w:p>
        </w:tc>
      </w:tr>
      <w:tr w:rsidR="00AE55CA" w14:paraId="424BD2D9" w14:textId="77777777">
        <w:trPr>
          <w:cantSplit/>
          <w:trHeight w:val="20"/>
        </w:trPr>
        <w:tc>
          <w:tcPr>
            <w:tcW w:w="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ACC228" w14:textId="77777777" w:rsidR="00AE55CA" w:rsidRDefault="003B1F75">
            <w:pPr>
              <w:widowControl w:val="0"/>
              <w:contextualSpacing/>
              <w:jc w:val="center"/>
              <w:rPr>
                <w:rFonts w:ascii="Arial" w:hAnsi="Arial" w:cs="Arial"/>
                <w:b/>
                <w:bCs/>
                <w:smallCaps/>
                <w:sz w:val="20"/>
                <w:szCs w:val="20"/>
              </w:rPr>
            </w:pPr>
            <w:r>
              <w:rPr>
                <w:rFonts w:ascii="Arial" w:hAnsi="Arial" w:cs="Arial"/>
                <w:b/>
                <w:bCs/>
                <w:smallCaps/>
                <w:sz w:val="20"/>
                <w:szCs w:val="20"/>
              </w:rPr>
              <w:t>2</w:t>
            </w:r>
          </w:p>
        </w:tc>
        <w:tc>
          <w:tcPr>
            <w:tcW w:w="2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A140D6"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Potenza laser</w:t>
            </w:r>
          </w:p>
        </w:tc>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413672"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18</w:t>
            </w: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2920D"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2.1</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9C002"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 xml:space="preserve">Da 100mW a 500 </w:t>
            </w:r>
            <w:proofErr w:type="spellStart"/>
            <w:r>
              <w:rPr>
                <w:rFonts w:ascii="Arial" w:hAnsi="Arial" w:cs="Arial"/>
                <w:smallCaps/>
                <w:sz w:val="20"/>
                <w:szCs w:val="20"/>
              </w:rPr>
              <w:t>mW</w:t>
            </w:r>
            <w:proofErr w:type="spellEnd"/>
            <w:r>
              <w:rPr>
                <w:rFonts w:ascii="Arial" w:hAnsi="Arial" w:cs="Arial"/>
                <w:smallCaps/>
                <w:sz w:val="20"/>
                <w:szCs w:val="20"/>
              </w:rPr>
              <w:t xml:space="preserve"> escluso</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7EAE9"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9</w:t>
            </w:r>
          </w:p>
        </w:tc>
      </w:tr>
      <w:tr w:rsidR="00AE55CA" w14:paraId="34C3DCA1" w14:textId="77777777">
        <w:trPr>
          <w:cantSplit/>
          <w:trHeight w:val="20"/>
        </w:trPr>
        <w:tc>
          <w:tcPr>
            <w:tcW w:w="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49F61" w14:textId="77777777" w:rsidR="00AE55CA" w:rsidRDefault="00AE55CA">
            <w:pPr>
              <w:widowControl w:val="0"/>
              <w:contextualSpacing/>
              <w:jc w:val="both"/>
              <w:rPr>
                <w:rFonts w:ascii="Arial" w:hAnsi="Arial" w:cs="Arial"/>
                <w:b/>
                <w:bCs/>
                <w:smallCaps/>
                <w:sz w:val="20"/>
                <w:szCs w:val="20"/>
              </w:rPr>
            </w:pPr>
          </w:p>
        </w:tc>
        <w:tc>
          <w:tcPr>
            <w:tcW w:w="2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33031" w14:textId="77777777" w:rsidR="00AE55CA" w:rsidRDefault="00AE55CA">
            <w:pPr>
              <w:widowControl w:val="0"/>
              <w:contextualSpacing/>
              <w:rPr>
                <w:rFonts w:ascii="Arial" w:hAnsi="Arial" w:cs="Arial"/>
                <w:smallCaps/>
                <w:sz w:val="20"/>
                <w:szCs w:val="20"/>
              </w:rPr>
            </w:pPr>
          </w:p>
        </w:tc>
        <w:tc>
          <w:tcPr>
            <w:tcW w:w="6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1CADA0" w14:textId="77777777" w:rsidR="00AE55CA" w:rsidRDefault="00AE55CA">
            <w:pPr>
              <w:widowControl w:val="0"/>
              <w:contextualSpacing/>
              <w:jc w:val="center"/>
              <w:rPr>
                <w:rFonts w:ascii="Arial" w:hAnsi="Arial" w:cs="Arial"/>
                <w:smallCaps/>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DCD8F"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2.2</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3B925"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 xml:space="preserve">Da 500 </w:t>
            </w:r>
            <w:proofErr w:type="spellStart"/>
            <w:r>
              <w:rPr>
                <w:rFonts w:ascii="Arial" w:hAnsi="Arial" w:cs="Arial"/>
                <w:smallCaps/>
                <w:sz w:val="20"/>
                <w:szCs w:val="20"/>
              </w:rPr>
              <w:t>mW</w:t>
            </w:r>
            <w:proofErr w:type="spellEnd"/>
            <w:r>
              <w:rPr>
                <w:rFonts w:ascii="Arial" w:hAnsi="Arial" w:cs="Arial"/>
                <w:smallCaps/>
                <w:sz w:val="20"/>
                <w:szCs w:val="20"/>
              </w:rPr>
              <w:t xml:space="preserve"> a 1 W</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2A43E"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18</w:t>
            </w:r>
          </w:p>
        </w:tc>
      </w:tr>
      <w:tr w:rsidR="00AE55CA" w14:paraId="0C1D8ED8" w14:textId="77777777">
        <w:trPr>
          <w:cantSplit/>
          <w:trHeight w:val="20"/>
        </w:trPr>
        <w:tc>
          <w:tcPr>
            <w:tcW w:w="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F3DAF0" w14:textId="77777777" w:rsidR="00AE55CA" w:rsidRDefault="003B1F75">
            <w:pPr>
              <w:widowControl w:val="0"/>
              <w:contextualSpacing/>
              <w:jc w:val="center"/>
              <w:rPr>
                <w:rFonts w:ascii="Arial" w:hAnsi="Arial" w:cs="Arial"/>
                <w:b/>
                <w:bCs/>
                <w:smallCaps/>
                <w:sz w:val="20"/>
                <w:szCs w:val="20"/>
              </w:rPr>
            </w:pPr>
            <w:r>
              <w:rPr>
                <w:rFonts w:ascii="Arial" w:hAnsi="Arial" w:cs="Arial"/>
                <w:b/>
                <w:bCs/>
                <w:smallCaps/>
                <w:sz w:val="20"/>
                <w:szCs w:val="20"/>
              </w:rPr>
              <w:t>3</w:t>
            </w:r>
          </w:p>
        </w:tc>
        <w:tc>
          <w:tcPr>
            <w:tcW w:w="2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2309D9"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Velocità degli atomi</w:t>
            </w:r>
          </w:p>
        </w:tc>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3D8972"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12</w:t>
            </w: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EBC6B"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3.1</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F4530"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20 a 30 m/s</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E2711"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8</w:t>
            </w:r>
          </w:p>
        </w:tc>
      </w:tr>
      <w:tr w:rsidR="00AE55CA" w14:paraId="24158077"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64FDBBE0"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751D5E2F"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02B31ACD" w14:textId="77777777" w:rsidR="00AE55CA" w:rsidRDefault="00AE55CA">
            <w:pPr>
              <w:widowControl w:val="0"/>
              <w:contextualSpacing/>
              <w:jc w:val="center"/>
              <w:rPr>
                <w:rFonts w:ascii="Arial" w:hAnsi="Arial" w:cs="Arial"/>
                <w:smallCaps/>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7E957"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3.2</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F714C"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30 a 50 m/s</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A2E0C"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12</w:t>
            </w:r>
          </w:p>
        </w:tc>
      </w:tr>
      <w:tr w:rsidR="00AE55CA" w14:paraId="15476973" w14:textId="77777777">
        <w:trPr>
          <w:cantSplit/>
          <w:trHeight w:val="20"/>
        </w:trPr>
        <w:tc>
          <w:tcPr>
            <w:tcW w:w="342" w:type="dxa"/>
            <w:vMerge w:val="restart"/>
            <w:tcBorders>
              <w:left w:val="single" w:sz="4" w:space="0" w:color="000000"/>
              <w:bottom w:val="single" w:sz="4" w:space="0" w:color="000000"/>
              <w:right w:val="single" w:sz="4" w:space="0" w:color="000000"/>
            </w:tcBorders>
            <w:shd w:val="clear" w:color="auto" w:fill="auto"/>
            <w:vAlign w:val="center"/>
          </w:tcPr>
          <w:p w14:paraId="67EE239A" w14:textId="77777777" w:rsidR="00AE55CA" w:rsidRDefault="003B1F75">
            <w:pPr>
              <w:widowControl w:val="0"/>
              <w:contextualSpacing/>
              <w:jc w:val="center"/>
              <w:rPr>
                <w:rFonts w:ascii="Arial" w:hAnsi="Arial" w:cs="Arial"/>
                <w:b/>
                <w:bCs/>
                <w:smallCaps/>
                <w:sz w:val="20"/>
                <w:szCs w:val="20"/>
              </w:rPr>
            </w:pPr>
            <w:r>
              <w:rPr>
                <w:rFonts w:ascii="Arial" w:hAnsi="Arial" w:cs="Arial"/>
                <w:b/>
                <w:bCs/>
                <w:smallCaps/>
                <w:sz w:val="20"/>
                <w:szCs w:val="20"/>
              </w:rPr>
              <w:t>4</w:t>
            </w:r>
          </w:p>
        </w:tc>
        <w:tc>
          <w:tcPr>
            <w:tcW w:w="2024" w:type="dxa"/>
            <w:vMerge w:val="restart"/>
            <w:tcBorders>
              <w:left w:val="single" w:sz="4" w:space="0" w:color="000000"/>
              <w:bottom w:val="single" w:sz="4" w:space="0" w:color="000000"/>
              <w:right w:val="single" w:sz="4" w:space="0" w:color="000000"/>
            </w:tcBorders>
            <w:shd w:val="clear" w:color="auto" w:fill="auto"/>
            <w:vAlign w:val="center"/>
          </w:tcPr>
          <w:p w14:paraId="35D8CB00"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Flusso di atomi</w:t>
            </w:r>
          </w:p>
        </w:tc>
        <w:tc>
          <w:tcPr>
            <w:tcW w:w="634" w:type="dxa"/>
            <w:vMerge w:val="restart"/>
            <w:tcBorders>
              <w:left w:val="single" w:sz="4" w:space="0" w:color="000000"/>
              <w:bottom w:val="single" w:sz="4" w:space="0" w:color="000000"/>
              <w:right w:val="single" w:sz="4" w:space="0" w:color="000000"/>
            </w:tcBorders>
            <w:shd w:val="clear" w:color="auto" w:fill="auto"/>
            <w:vAlign w:val="center"/>
          </w:tcPr>
          <w:p w14:paraId="58F082BC"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12</w:t>
            </w: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447EE"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4.1</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842EF"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10^8 atomi/s a 10^9 atomi/s</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CC3FC"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8</w:t>
            </w:r>
          </w:p>
        </w:tc>
      </w:tr>
      <w:tr w:rsidR="00AE55CA" w14:paraId="69EA5F11"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6FA51E84"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2C90A192"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43931C01" w14:textId="77777777" w:rsidR="00AE55CA" w:rsidRDefault="00AE55CA">
            <w:pPr>
              <w:widowControl w:val="0"/>
              <w:contextualSpacing/>
              <w:jc w:val="center"/>
              <w:rPr>
                <w:rFonts w:ascii="Arial" w:hAnsi="Arial" w:cs="Arial"/>
                <w:smallCaps/>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63484"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4.3</w:t>
            </w:r>
          </w:p>
        </w:tc>
        <w:tc>
          <w:tcPr>
            <w:tcW w:w="4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9AA34"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da 10^9 atomi/s a 10^10 atomi/s</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38FA3"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12</w:t>
            </w:r>
          </w:p>
        </w:tc>
      </w:tr>
      <w:tr w:rsidR="00AE55CA" w14:paraId="6A65B2B8" w14:textId="77777777">
        <w:trPr>
          <w:cantSplit/>
          <w:trHeight w:val="20"/>
        </w:trPr>
        <w:tc>
          <w:tcPr>
            <w:tcW w:w="342" w:type="dxa"/>
            <w:vMerge w:val="restart"/>
            <w:tcBorders>
              <w:left w:val="single" w:sz="4" w:space="0" w:color="000000"/>
              <w:bottom w:val="single" w:sz="4" w:space="0" w:color="000000"/>
              <w:right w:val="single" w:sz="4" w:space="0" w:color="000000"/>
            </w:tcBorders>
            <w:shd w:val="clear" w:color="auto" w:fill="auto"/>
            <w:vAlign w:val="center"/>
          </w:tcPr>
          <w:p w14:paraId="5F4DFCF2" w14:textId="77777777" w:rsidR="00AE55CA" w:rsidRDefault="003B1F75">
            <w:pPr>
              <w:widowControl w:val="0"/>
              <w:contextualSpacing/>
              <w:jc w:val="both"/>
              <w:rPr>
                <w:rFonts w:ascii="Arial" w:hAnsi="Arial" w:cs="Arial"/>
                <w:b/>
                <w:bCs/>
                <w:smallCaps/>
                <w:sz w:val="20"/>
                <w:szCs w:val="20"/>
              </w:rPr>
            </w:pPr>
            <w:r>
              <w:rPr>
                <w:rFonts w:ascii="Arial" w:hAnsi="Arial" w:cs="Arial"/>
                <w:b/>
                <w:bCs/>
                <w:smallCaps/>
                <w:sz w:val="20"/>
                <w:szCs w:val="20"/>
              </w:rPr>
              <w:t>5</w:t>
            </w:r>
          </w:p>
        </w:tc>
        <w:tc>
          <w:tcPr>
            <w:tcW w:w="2024" w:type="dxa"/>
            <w:vMerge w:val="restart"/>
            <w:tcBorders>
              <w:left w:val="single" w:sz="4" w:space="0" w:color="000000"/>
              <w:bottom w:val="single" w:sz="4" w:space="0" w:color="000000"/>
              <w:right w:val="single" w:sz="4" w:space="0" w:color="000000"/>
            </w:tcBorders>
            <w:shd w:val="clear" w:color="auto" w:fill="auto"/>
            <w:vAlign w:val="center"/>
          </w:tcPr>
          <w:p w14:paraId="4DEDADB9"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Estensione della garanzia del sistema oltre la durata di legge</w:t>
            </w:r>
          </w:p>
        </w:tc>
        <w:tc>
          <w:tcPr>
            <w:tcW w:w="634" w:type="dxa"/>
            <w:vMerge w:val="restart"/>
            <w:tcBorders>
              <w:left w:val="single" w:sz="4" w:space="0" w:color="000000"/>
              <w:bottom w:val="single" w:sz="4" w:space="0" w:color="000000"/>
              <w:right w:val="single" w:sz="4" w:space="0" w:color="000000"/>
            </w:tcBorders>
            <w:shd w:val="clear" w:color="auto" w:fill="auto"/>
            <w:vAlign w:val="center"/>
          </w:tcPr>
          <w:p w14:paraId="322E7BEF"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5</w:t>
            </w:r>
          </w:p>
        </w:tc>
        <w:tc>
          <w:tcPr>
            <w:tcW w:w="430" w:type="dxa"/>
            <w:tcBorders>
              <w:left w:val="single" w:sz="4" w:space="0" w:color="000000"/>
              <w:bottom w:val="single" w:sz="4" w:space="0" w:color="000000"/>
              <w:right w:val="single" w:sz="4" w:space="0" w:color="000000"/>
            </w:tcBorders>
            <w:shd w:val="clear" w:color="auto" w:fill="auto"/>
            <w:vAlign w:val="center"/>
          </w:tcPr>
          <w:p w14:paraId="3C553E9D"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5.1</w:t>
            </w:r>
          </w:p>
        </w:tc>
        <w:tc>
          <w:tcPr>
            <w:tcW w:w="4955" w:type="dxa"/>
            <w:tcBorders>
              <w:left w:val="single" w:sz="4" w:space="0" w:color="000000"/>
              <w:bottom w:val="single" w:sz="4" w:space="0" w:color="000000"/>
              <w:right w:val="single" w:sz="4" w:space="0" w:color="000000"/>
            </w:tcBorders>
            <w:shd w:val="clear" w:color="auto" w:fill="auto"/>
            <w:vAlign w:val="center"/>
          </w:tcPr>
          <w:p w14:paraId="2D4FEF1E"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6 mesi</w:t>
            </w:r>
          </w:p>
        </w:tc>
        <w:tc>
          <w:tcPr>
            <w:tcW w:w="1541" w:type="dxa"/>
            <w:tcBorders>
              <w:left w:val="single" w:sz="4" w:space="0" w:color="000000"/>
              <w:bottom w:val="single" w:sz="4" w:space="0" w:color="000000"/>
              <w:right w:val="single" w:sz="4" w:space="0" w:color="000000"/>
            </w:tcBorders>
            <w:shd w:val="clear" w:color="auto" w:fill="auto"/>
            <w:vAlign w:val="center"/>
          </w:tcPr>
          <w:p w14:paraId="6E9522D2"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w:t>
            </w:r>
          </w:p>
        </w:tc>
      </w:tr>
      <w:tr w:rsidR="00AE55CA" w14:paraId="165DAC81"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5A86345A"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69935608"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54585BFA" w14:textId="77777777" w:rsidR="00AE55CA" w:rsidRDefault="00AE55CA">
            <w:pPr>
              <w:widowControl w:val="0"/>
              <w:contextualSpacing/>
              <w:jc w:val="center"/>
              <w:rPr>
                <w:rFonts w:ascii="Arial" w:hAnsi="Arial" w:cs="Arial"/>
                <w:smallCaps/>
                <w:sz w:val="20"/>
                <w:szCs w:val="20"/>
              </w:rPr>
            </w:pPr>
          </w:p>
        </w:tc>
        <w:tc>
          <w:tcPr>
            <w:tcW w:w="430" w:type="dxa"/>
            <w:tcBorders>
              <w:left w:val="single" w:sz="4" w:space="0" w:color="000000"/>
              <w:bottom w:val="single" w:sz="4" w:space="0" w:color="000000"/>
              <w:right w:val="single" w:sz="4" w:space="0" w:color="000000"/>
            </w:tcBorders>
            <w:shd w:val="clear" w:color="auto" w:fill="auto"/>
            <w:vAlign w:val="center"/>
          </w:tcPr>
          <w:p w14:paraId="5CCD7550"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5.2</w:t>
            </w:r>
          </w:p>
        </w:tc>
        <w:tc>
          <w:tcPr>
            <w:tcW w:w="4955" w:type="dxa"/>
            <w:tcBorders>
              <w:left w:val="single" w:sz="4" w:space="0" w:color="000000"/>
              <w:bottom w:val="single" w:sz="4" w:space="0" w:color="000000"/>
              <w:right w:val="single" w:sz="4" w:space="0" w:color="000000"/>
            </w:tcBorders>
            <w:shd w:val="clear" w:color="auto" w:fill="auto"/>
            <w:vAlign w:val="center"/>
          </w:tcPr>
          <w:p w14:paraId="511A62B1"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1 anno</w:t>
            </w:r>
          </w:p>
        </w:tc>
        <w:tc>
          <w:tcPr>
            <w:tcW w:w="1541" w:type="dxa"/>
            <w:tcBorders>
              <w:left w:val="single" w:sz="4" w:space="0" w:color="000000"/>
              <w:bottom w:val="single" w:sz="4" w:space="0" w:color="000000"/>
              <w:right w:val="single" w:sz="4" w:space="0" w:color="000000"/>
            </w:tcBorders>
            <w:shd w:val="clear" w:color="auto" w:fill="auto"/>
            <w:vAlign w:val="center"/>
          </w:tcPr>
          <w:p w14:paraId="7C48F7F7"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3</w:t>
            </w:r>
          </w:p>
        </w:tc>
      </w:tr>
      <w:tr w:rsidR="00AE55CA" w14:paraId="36140CF4"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22AF8863"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4310084B"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591B0647" w14:textId="77777777" w:rsidR="00AE55CA" w:rsidRDefault="00AE55CA">
            <w:pPr>
              <w:widowControl w:val="0"/>
              <w:contextualSpacing/>
              <w:jc w:val="center"/>
              <w:rPr>
                <w:rFonts w:ascii="Arial" w:hAnsi="Arial" w:cs="Arial"/>
                <w:smallCaps/>
                <w:sz w:val="20"/>
                <w:szCs w:val="20"/>
              </w:rPr>
            </w:pPr>
          </w:p>
        </w:tc>
        <w:tc>
          <w:tcPr>
            <w:tcW w:w="430" w:type="dxa"/>
            <w:tcBorders>
              <w:left w:val="single" w:sz="4" w:space="0" w:color="000000"/>
              <w:bottom w:val="single" w:sz="4" w:space="0" w:color="000000"/>
              <w:right w:val="single" w:sz="4" w:space="0" w:color="000000"/>
            </w:tcBorders>
            <w:shd w:val="clear" w:color="auto" w:fill="auto"/>
            <w:vAlign w:val="center"/>
          </w:tcPr>
          <w:p w14:paraId="7CCCB43F"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5.3</w:t>
            </w:r>
          </w:p>
        </w:tc>
        <w:tc>
          <w:tcPr>
            <w:tcW w:w="4955" w:type="dxa"/>
            <w:tcBorders>
              <w:left w:val="single" w:sz="4" w:space="0" w:color="000000"/>
              <w:bottom w:val="single" w:sz="4" w:space="0" w:color="000000"/>
              <w:right w:val="single" w:sz="4" w:space="0" w:color="000000"/>
            </w:tcBorders>
            <w:shd w:val="clear" w:color="auto" w:fill="auto"/>
            <w:vAlign w:val="center"/>
          </w:tcPr>
          <w:p w14:paraId="542BC8A6"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2 anni</w:t>
            </w:r>
          </w:p>
        </w:tc>
        <w:tc>
          <w:tcPr>
            <w:tcW w:w="1541" w:type="dxa"/>
            <w:tcBorders>
              <w:left w:val="single" w:sz="4" w:space="0" w:color="000000"/>
              <w:bottom w:val="single" w:sz="4" w:space="0" w:color="000000"/>
              <w:right w:val="single" w:sz="4" w:space="0" w:color="000000"/>
            </w:tcBorders>
            <w:shd w:val="clear" w:color="auto" w:fill="auto"/>
            <w:vAlign w:val="center"/>
          </w:tcPr>
          <w:p w14:paraId="2EBD7A92"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5</w:t>
            </w:r>
          </w:p>
        </w:tc>
      </w:tr>
      <w:tr w:rsidR="00AE55CA" w14:paraId="3E1E6ECA" w14:textId="77777777">
        <w:trPr>
          <w:cantSplit/>
          <w:trHeight w:val="20"/>
        </w:trPr>
        <w:tc>
          <w:tcPr>
            <w:tcW w:w="342" w:type="dxa"/>
            <w:vMerge w:val="restart"/>
            <w:tcBorders>
              <w:left w:val="single" w:sz="4" w:space="0" w:color="000000"/>
              <w:bottom w:val="single" w:sz="4" w:space="0" w:color="000000"/>
              <w:right w:val="single" w:sz="4" w:space="0" w:color="000000"/>
            </w:tcBorders>
            <w:shd w:val="clear" w:color="auto" w:fill="auto"/>
            <w:vAlign w:val="center"/>
          </w:tcPr>
          <w:p w14:paraId="3A41C548" w14:textId="77777777" w:rsidR="00AE55CA" w:rsidRDefault="003B1F75">
            <w:pPr>
              <w:widowControl w:val="0"/>
              <w:contextualSpacing/>
              <w:jc w:val="both"/>
              <w:rPr>
                <w:rFonts w:ascii="Arial" w:hAnsi="Arial" w:cs="Arial"/>
                <w:b/>
                <w:bCs/>
                <w:smallCaps/>
                <w:sz w:val="20"/>
                <w:szCs w:val="20"/>
              </w:rPr>
            </w:pPr>
            <w:r>
              <w:rPr>
                <w:rFonts w:ascii="Arial" w:hAnsi="Arial" w:cs="Arial"/>
                <w:b/>
                <w:bCs/>
                <w:smallCaps/>
                <w:sz w:val="20"/>
                <w:szCs w:val="20"/>
              </w:rPr>
              <w:t>6</w:t>
            </w:r>
          </w:p>
        </w:tc>
        <w:tc>
          <w:tcPr>
            <w:tcW w:w="2024" w:type="dxa"/>
            <w:vMerge w:val="restart"/>
            <w:tcBorders>
              <w:left w:val="single" w:sz="4" w:space="0" w:color="000000"/>
              <w:bottom w:val="single" w:sz="4" w:space="0" w:color="000000"/>
              <w:right w:val="single" w:sz="4" w:space="0" w:color="000000"/>
            </w:tcBorders>
            <w:shd w:val="clear" w:color="auto" w:fill="auto"/>
            <w:vAlign w:val="center"/>
          </w:tcPr>
          <w:p w14:paraId="083A306E"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Supporto Tecnico</w:t>
            </w:r>
          </w:p>
        </w:tc>
        <w:tc>
          <w:tcPr>
            <w:tcW w:w="634" w:type="dxa"/>
            <w:vMerge w:val="restart"/>
            <w:tcBorders>
              <w:left w:val="single" w:sz="4" w:space="0" w:color="000000"/>
              <w:bottom w:val="single" w:sz="4" w:space="0" w:color="000000"/>
              <w:right w:val="single" w:sz="4" w:space="0" w:color="000000"/>
            </w:tcBorders>
            <w:shd w:val="clear" w:color="auto" w:fill="auto"/>
            <w:vAlign w:val="center"/>
          </w:tcPr>
          <w:p w14:paraId="3B609433"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5</w:t>
            </w:r>
          </w:p>
        </w:tc>
        <w:tc>
          <w:tcPr>
            <w:tcW w:w="430" w:type="dxa"/>
            <w:tcBorders>
              <w:left w:val="single" w:sz="4" w:space="0" w:color="000000"/>
              <w:bottom w:val="single" w:sz="4" w:space="0" w:color="000000"/>
              <w:right w:val="single" w:sz="4" w:space="0" w:color="000000"/>
            </w:tcBorders>
            <w:shd w:val="clear" w:color="auto" w:fill="auto"/>
            <w:vAlign w:val="center"/>
          </w:tcPr>
          <w:p w14:paraId="032230C3"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6.1</w:t>
            </w:r>
          </w:p>
        </w:tc>
        <w:tc>
          <w:tcPr>
            <w:tcW w:w="4955" w:type="dxa"/>
            <w:tcBorders>
              <w:left w:val="single" w:sz="4" w:space="0" w:color="000000"/>
              <w:bottom w:val="single" w:sz="4" w:space="0" w:color="000000"/>
              <w:right w:val="single" w:sz="4" w:space="0" w:color="000000"/>
            </w:tcBorders>
            <w:shd w:val="clear" w:color="auto" w:fill="auto"/>
            <w:vAlign w:val="center"/>
          </w:tcPr>
          <w:p w14:paraId="51B56036"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6 mesi</w:t>
            </w:r>
          </w:p>
        </w:tc>
        <w:tc>
          <w:tcPr>
            <w:tcW w:w="1541" w:type="dxa"/>
            <w:tcBorders>
              <w:left w:val="single" w:sz="4" w:space="0" w:color="000000"/>
              <w:bottom w:val="single" w:sz="4" w:space="0" w:color="000000"/>
              <w:right w:val="single" w:sz="4" w:space="0" w:color="000000"/>
            </w:tcBorders>
            <w:shd w:val="clear" w:color="auto" w:fill="auto"/>
            <w:vAlign w:val="center"/>
          </w:tcPr>
          <w:p w14:paraId="3638DA60"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1</w:t>
            </w:r>
          </w:p>
        </w:tc>
      </w:tr>
      <w:tr w:rsidR="00AE55CA" w14:paraId="4C2C4836"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308D1406"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2F45FF73"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2B65AD61" w14:textId="77777777" w:rsidR="00AE55CA" w:rsidRDefault="00AE55CA">
            <w:pPr>
              <w:widowControl w:val="0"/>
              <w:contextualSpacing/>
              <w:jc w:val="center"/>
              <w:rPr>
                <w:rFonts w:ascii="Arial" w:hAnsi="Arial" w:cs="Arial"/>
                <w:smallCaps/>
                <w:sz w:val="20"/>
                <w:szCs w:val="20"/>
              </w:rPr>
            </w:pPr>
          </w:p>
        </w:tc>
        <w:tc>
          <w:tcPr>
            <w:tcW w:w="430" w:type="dxa"/>
            <w:tcBorders>
              <w:left w:val="single" w:sz="4" w:space="0" w:color="000000"/>
              <w:bottom w:val="single" w:sz="4" w:space="0" w:color="000000"/>
              <w:right w:val="single" w:sz="4" w:space="0" w:color="000000"/>
            </w:tcBorders>
            <w:shd w:val="clear" w:color="auto" w:fill="auto"/>
            <w:vAlign w:val="center"/>
          </w:tcPr>
          <w:p w14:paraId="76B92A77"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6.2</w:t>
            </w:r>
          </w:p>
        </w:tc>
        <w:tc>
          <w:tcPr>
            <w:tcW w:w="4955" w:type="dxa"/>
            <w:tcBorders>
              <w:left w:val="single" w:sz="4" w:space="0" w:color="000000"/>
              <w:bottom w:val="single" w:sz="4" w:space="0" w:color="000000"/>
              <w:right w:val="single" w:sz="4" w:space="0" w:color="000000"/>
            </w:tcBorders>
            <w:shd w:val="clear" w:color="auto" w:fill="auto"/>
            <w:vAlign w:val="center"/>
          </w:tcPr>
          <w:p w14:paraId="389F1B54"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1 anno</w:t>
            </w:r>
          </w:p>
        </w:tc>
        <w:tc>
          <w:tcPr>
            <w:tcW w:w="1541" w:type="dxa"/>
            <w:tcBorders>
              <w:left w:val="single" w:sz="4" w:space="0" w:color="000000"/>
              <w:bottom w:val="single" w:sz="4" w:space="0" w:color="000000"/>
              <w:right w:val="single" w:sz="4" w:space="0" w:color="000000"/>
            </w:tcBorders>
            <w:shd w:val="clear" w:color="auto" w:fill="auto"/>
            <w:vAlign w:val="center"/>
          </w:tcPr>
          <w:p w14:paraId="4AE84858"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3</w:t>
            </w:r>
          </w:p>
        </w:tc>
      </w:tr>
      <w:tr w:rsidR="00AE55CA" w14:paraId="534AF02D" w14:textId="77777777">
        <w:trPr>
          <w:cantSplit/>
          <w:trHeight w:val="20"/>
        </w:trPr>
        <w:tc>
          <w:tcPr>
            <w:tcW w:w="342" w:type="dxa"/>
            <w:vMerge/>
            <w:tcBorders>
              <w:left w:val="single" w:sz="4" w:space="0" w:color="000000"/>
              <w:bottom w:val="single" w:sz="4" w:space="0" w:color="000000"/>
              <w:right w:val="single" w:sz="4" w:space="0" w:color="000000"/>
            </w:tcBorders>
            <w:shd w:val="clear" w:color="auto" w:fill="auto"/>
            <w:vAlign w:val="center"/>
          </w:tcPr>
          <w:p w14:paraId="59DB1D34" w14:textId="77777777" w:rsidR="00AE55CA" w:rsidRDefault="00AE55CA">
            <w:pPr>
              <w:widowControl w:val="0"/>
              <w:contextualSpacing/>
              <w:jc w:val="both"/>
              <w:rPr>
                <w:rFonts w:ascii="Arial" w:hAnsi="Arial" w:cs="Arial"/>
                <w:b/>
                <w:bCs/>
                <w:smallCaps/>
                <w:sz w:val="20"/>
                <w:szCs w:val="20"/>
              </w:rPr>
            </w:pPr>
          </w:p>
        </w:tc>
        <w:tc>
          <w:tcPr>
            <w:tcW w:w="2024" w:type="dxa"/>
            <w:vMerge/>
            <w:tcBorders>
              <w:left w:val="single" w:sz="4" w:space="0" w:color="000000"/>
              <w:bottom w:val="single" w:sz="4" w:space="0" w:color="000000"/>
              <w:right w:val="single" w:sz="4" w:space="0" w:color="000000"/>
            </w:tcBorders>
            <w:shd w:val="clear" w:color="auto" w:fill="auto"/>
            <w:vAlign w:val="center"/>
          </w:tcPr>
          <w:p w14:paraId="45FC28B6" w14:textId="77777777" w:rsidR="00AE55CA" w:rsidRDefault="00AE55CA">
            <w:pPr>
              <w:widowControl w:val="0"/>
              <w:contextualSpacing/>
              <w:rPr>
                <w:rFonts w:ascii="Arial" w:hAnsi="Arial" w:cs="Arial"/>
                <w:smallCaps/>
                <w:sz w:val="20"/>
                <w:szCs w:val="20"/>
              </w:rPr>
            </w:pPr>
          </w:p>
        </w:tc>
        <w:tc>
          <w:tcPr>
            <w:tcW w:w="634" w:type="dxa"/>
            <w:vMerge/>
            <w:tcBorders>
              <w:left w:val="single" w:sz="4" w:space="0" w:color="000000"/>
              <w:bottom w:val="single" w:sz="4" w:space="0" w:color="000000"/>
              <w:right w:val="single" w:sz="4" w:space="0" w:color="000000"/>
            </w:tcBorders>
            <w:shd w:val="clear" w:color="auto" w:fill="auto"/>
            <w:vAlign w:val="center"/>
          </w:tcPr>
          <w:p w14:paraId="75B29944" w14:textId="77777777" w:rsidR="00AE55CA" w:rsidRDefault="00AE55CA">
            <w:pPr>
              <w:widowControl w:val="0"/>
              <w:contextualSpacing/>
              <w:jc w:val="center"/>
              <w:rPr>
                <w:rFonts w:ascii="Arial" w:hAnsi="Arial" w:cs="Arial"/>
                <w:smallCaps/>
                <w:sz w:val="20"/>
                <w:szCs w:val="20"/>
              </w:rPr>
            </w:pPr>
          </w:p>
        </w:tc>
        <w:tc>
          <w:tcPr>
            <w:tcW w:w="430" w:type="dxa"/>
            <w:tcBorders>
              <w:left w:val="single" w:sz="4" w:space="0" w:color="000000"/>
              <w:bottom w:val="single" w:sz="4" w:space="0" w:color="000000"/>
              <w:right w:val="single" w:sz="4" w:space="0" w:color="000000"/>
            </w:tcBorders>
            <w:shd w:val="clear" w:color="auto" w:fill="auto"/>
            <w:vAlign w:val="center"/>
          </w:tcPr>
          <w:p w14:paraId="5FAECD06" w14:textId="77777777" w:rsidR="00AE55CA" w:rsidRDefault="003B1F75">
            <w:pPr>
              <w:widowControl w:val="0"/>
              <w:contextualSpacing/>
              <w:jc w:val="center"/>
              <w:rPr>
                <w:rFonts w:ascii="Arial" w:hAnsi="Arial" w:cs="Arial"/>
                <w:smallCaps/>
                <w:sz w:val="20"/>
                <w:szCs w:val="20"/>
              </w:rPr>
            </w:pPr>
            <w:r>
              <w:rPr>
                <w:rFonts w:ascii="Arial" w:hAnsi="Arial" w:cs="Arial"/>
                <w:smallCaps/>
                <w:sz w:val="20"/>
                <w:szCs w:val="20"/>
              </w:rPr>
              <w:t>6.3</w:t>
            </w:r>
          </w:p>
        </w:tc>
        <w:tc>
          <w:tcPr>
            <w:tcW w:w="4955" w:type="dxa"/>
            <w:tcBorders>
              <w:left w:val="single" w:sz="4" w:space="0" w:color="000000"/>
              <w:bottom w:val="single" w:sz="4" w:space="0" w:color="000000"/>
              <w:right w:val="single" w:sz="4" w:space="0" w:color="000000"/>
            </w:tcBorders>
            <w:shd w:val="clear" w:color="auto" w:fill="auto"/>
            <w:vAlign w:val="center"/>
          </w:tcPr>
          <w:p w14:paraId="4FFC3AD1" w14:textId="77777777" w:rsidR="00AE55CA" w:rsidRDefault="003B1F75">
            <w:pPr>
              <w:widowControl w:val="0"/>
              <w:contextualSpacing/>
              <w:rPr>
                <w:rFonts w:ascii="Arial" w:hAnsi="Arial" w:cs="Arial"/>
                <w:smallCaps/>
                <w:sz w:val="20"/>
                <w:szCs w:val="20"/>
              </w:rPr>
            </w:pPr>
            <w:r>
              <w:rPr>
                <w:rFonts w:ascii="Arial" w:hAnsi="Arial" w:cs="Arial"/>
                <w:smallCaps/>
                <w:sz w:val="20"/>
                <w:szCs w:val="20"/>
              </w:rPr>
              <w:t>2 anni</w:t>
            </w:r>
          </w:p>
        </w:tc>
        <w:tc>
          <w:tcPr>
            <w:tcW w:w="1541" w:type="dxa"/>
            <w:tcBorders>
              <w:left w:val="single" w:sz="4" w:space="0" w:color="000000"/>
              <w:bottom w:val="single" w:sz="4" w:space="0" w:color="000000"/>
              <w:right w:val="single" w:sz="4" w:space="0" w:color="000000"/>
            </w:tcBorders>
            <w:shd w:val="clear" w:color="auto" w:fill="auto"/>
            <w:vAlign w:val="center"/>
          </w:tcPr>
          <w:p w14:paraId="1A694363" w14:textId="77777777" w:rsidR="00AE55CA" w:rsidRDefault="003B1F75">
            <w:pPr>
              <w:widowControl w:val="0"/>
              <w:contextualSpacing/>
              <w:jc w:val="center"/>
              <w:rPr>
                <w:rFonts w:ascii="Arial" w:hAnsi="Arial" w:cs="Arial"/>
                <w:bCs/>
                <w:smallCaps/>
                <w:sz w:val="20"/>
                <w:szCs w:val="20"/>
              </w:rPr>
            </w:pPr>
            <w:r>
              <w:rPr>
                <w:rFonts w:ascii="Arial" w:hAnsi="Arial" w:cs="Arial"/>
                <w:bCs/>
                <w:smallCaps/>
                <w:sz w:val="20"/>
                <w:szCs w:val="20"/>
              </w:rPr>
              <w:t>5</w:t>
            </w:r>
          </w:p>
        </w:tc>
      </w:tr>
      <w:tr w:rsidR="00AE55CA" w14:paraId="11E0FAAE" w14:textId="77777777">
        <w:trPr>
          <w:cantSplit/>
          <w:trHeight w:val="20"/>
        </w:trPr>
        <w:tc>
          <w:tcPr>
            <w:tcW w:w="342"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CECC590" w14:textId="77777777" w:rsidR="00AE55CA" w:rsidRDefault="003B1F75">
            <w:pPr>
              <w:widowControl w:val="0"/>
              <w:contextualSpacing/>
              <w:jc w:val="both"/>
              <w:rPr>
                <w:rFonts w:ascii="Arial" w:hAnsi="Arial" w:cs="Arial"/>
                <w:smallCaps/>
                <w:sz w:val="20"/>
                <w:szCs w:val="20"/>
              </w:rPr>
            </w:pPr>
            <w:r>
              <w:rPr>
                <w:rFonts w:ascii="Arial" w:hAnsi="Arial" w:cs="Arial"/>
                <w:smallCaps/>
                <w:sz w:val="20"/>
                <w:szCs w:val="20"/>
              </w:rPr>
              <w:lastRenderedPageBreak/>
              <w:t> </w:t>
            </w:r>
          </w:p>
        </w:tc>
        <w:tc>
          <w:tcPr>
            <w:tcW w:w="202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2640FA3" w14:textId="77777777" w:rsidR="00AE55CA" w:rsidRDefault="00AE55CA">
            <w:pPr>
              <w:widowControl w:val="0"/>
              <w:contextualSpacing/>
              <w:rPr>
                <w:rFonts w:ascii="Arial" w:hAnsi="Arial" w:cs="Arial"/>
                <w:b/>
                <w:bCs/>
                <w:smallCaps/>
                <w:sz w:val="20"/>
                <w:szCs w:val="20"/>
              </w:rPr>
            </w:pPr>
          </w:p>
        </w:tc>
        <w:tc>
          <w:tcPr>
            <w:tcW w:w="63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3B8B076" w14:textId="77777777" w:rsidR="00AE55CA" w:rsidRDefault="00AE55CA">
            <w:pPr>
              <w:widowControl w:val="0"/>
              <w:contextualSpacing/>
              <w:jc w:val="center"/>
              <w:rPr>
                <w:rFonts w:ascii="Arial" w:hAnsi="Arial" w:cs="Arial"/>
                <w:b/>
                <w:bCs/>
                <w:smallCaps/>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0F568D51" w14:textId="77777777" w:rsidR="00AE55CA" w:rsidRDefault="00AE55CA">
            <w:pPr>
              <w:widowControl w:val="0"/>
              <w:contextualSpacing/>
              <w:jc w:val="center"/>
              <w:rPr>
                <w:rFonts w:ascii="Arial" w:hAnsi="Arial" w:cs="Arial"/>
                <w:b/>
                <w:bCs/>
                <w:smallCaps/>
                <w:sz w:val="20"/>
                <w:szCs w:val="20"/>
              </w:rPr>
            </w:pPr>
          </w:p>
        </w:tc>
        <w:tc>
          <w:tcPr>
            <w:tcW w:w="4955"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06780604" w14:textId="77777777" w:rsidR="00AE55CA" w:rsidRDefault="003B1F75">
            <w:pPr>
              <w:widowControl w:val="0"/>
              <w:contextualSpacing/>
              <w:rPr>
                <w:rFonts w:ascii="Arial" w:hAnsi="Arial" w:cs="Arial"/>
                <w:b/>
                <w:bCs/>
                <w:smallCaps/>
                <w:sz w:val="20"/>
                <w:szCs w:val="20"/>
              </w:rPr>
            </w:pPr>
            <w:r>
              <w:rPr>
                <w:rFonts w:ascii="Arial" w:hAnsi="Arial" w:cs="Arial"/>
                <w:b/>
                <w:bCs/>
                <w:smallCaps/>
                <w:sz w:val="20"/>
                <w:szCs w:val="20"/>
              </w:rPr>
              <w:t> </w:t>
            </w:r>
          </w:p>
        </w:tc>
        <w:tc>
          <w:tcPr>
            <w:tcW w:w="154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58B73A9" w14:textId="77777777" w:rsidR="00AE55CA" w:rsidRDefault="00AE55CA">
            <w:pPr>
              <w:widowControl w:val="0"/>
              <w:contextualSpacing/>
              <w:jc w:val="center"/>
              <w:rPr>
                <w:rFonts w:ascii="Arial" w:hAnsi="Arial" w:cs="Arial"/>
                <w:b/>
                <w:bCs/>
                <w:smallCaps/>
                <w:sz w:val="20"/>
                <w:szCs w:val="20"/>
              </w:rPr>
            </w:pPr>
          </w:p>
        </w:tc>
      </w:tr>
    </w:tbl>
    <w:p w14:paraId="7EFDA858" w14:textId="77777777" w:rsidR="00AE55CA" w:rsidRDefault="00AE55CA">
      <w:pPr>
        <w:pStyle w:val="Titolo2"/>
        <w:numPr>
          <w:ilvl w:val="0"/>
          <w:numId w:val="0"/>
        </w:numPr>
        <w:ind w:left="425"/>
        <w:rPr>
          <w:rFonts w:ascii="Arial" w:hAnsi="Arial" w:cs="Arial"/>
        </w:rPr>
      </w:pPr>
    </w:p>
    <w:p w14:paraId="64302E94" w14:textId="77777777" w:rsidR="00AE55CA" w:rsidRDefault="003B1F75">
      <w:pPr>
        <w:pStyle w:val="Titolo2"/>
        <w:numPr>
          <w:ilvl w:val="0"/>
          <w:numId w:val="0"/>
        </w:numPr>
        <w:rPr>
          <w:rFonts w:ascii="Arial" w:hAnsi="Arial" w:cs="Arial"/>
        </w:rPr>
      </w:pPr>
      <w:r>
        <w:rPr>
          <w:rFonts w:ascii="Arial" w:hAnsi="Arial" w:cs="Arial"/>
        </w:rPr>
        <w:t>Metodo di attribuzione del coefficiente per il calcolo del punteggio dell’offerta tecnica:</w:t>
      </w:r>
    </w:p>
    <w:p w14:paraId="2777D249" w14:textId="77777777" w:rsidR="00AE55CA" w:rsidRDefault="00AE55CA">
      <w:pPr>
        <w:rPr>
          <w:rFonts w:ascii="Arial" w:hAnsi="Arial" w:cs="Arial"/>
        </w:rPr>
      </w:pPr>
    </w:p>
    <w:p w14:paraId="3ACB114A" w14:textId="77777777" w:rsidR="00AE55CA" w:rsidRDefault="003B1F75">
      <w:pPr>
        <w:pStyle w:val="Titolo3"/>
        <w:keepNext/>
        <w:numPr>
          <w:ilvl w:val="0"/>
          <w:numId w:val="13"/>
        </w:numPr>
        <w:tabs>
          <w:tab w:val="left" w:pos="284"/>
        </w:tabs>
        <w:ind w:left="0" w:firstLine="0"/>
        <w:rPr>
          <w:rFonts w:ascii="Arial" w:hAnsi="Arial" w:cs="Arial"/>
        </w:rPr>
      </w:pPr>
      <w:bookmarkStart w:id="39" w:name="_Toc122014449"/>
      <w:r>
        <w:rPr>
          <w:rFonts w:ascii="Arial" w:hAnsi="Arial" w:cs="Arial"/>
        </w:rPr>
        <w:t>Criteri soggetti a valutazione tabellare:</w:t>
      </w:r>
      <w:bookmarkEnd w:id="39"/>
    </w:p>
    <w:p w14:paraId="1B630466" w14:textId="77777777" w:rsidR="00AE55CA" w:rsidRDefault="00AE55CA">
      <w:pPr>
        <w:rPr>
          <w:rFonts w:ascii="Arial" w:hAnsi="Arial" w:cs="Arial"/>
          <w:sz w:val="20"/>
          <w:szCs w:val="20"/>
          <w:lang w:eastAsia="it-IT"/>
        </w:rPr>
      </w:pPr>
    </w:p>
    <w:p w14:paraId="40AC7F97" w14:textId="77777777" w:rsidR="00AE55CA" w:rsidRDefault="003B1F75">
      <w:pPr>
        <w:tabs>
          <w:tab w:val="left" w:pos="284"/>
        </w:tabs>
        <w:jc w:val="both"/>
        <w:rPr>
          <w:rFonts w:ascii="Arial" w:hAnsi="Arial" w:cs="Arial"/>
          <w:sz w:val="20"/>
          <w:szCs w:val="20"/>
        </w:rPr>
      </w:pPr>
      <w:r>
        <w:rPr>
          <w:rFonts w:ascii="Arial" w:hAnsi="Arial" w:cs="Arial"/>
          <w:sz w:val="20"/>
          <w:szCs w:val="20"/>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34A7A916" w14:textId="77777777" w:rsidR="00AE55CA" w:rsidRDefault="00AE55CA">
      <w:pPr>
        <w:tabs>
          <w:tab w:val="left" w:pos="284"/>
        </w:tabs>
        <w:jc w:val="both"/>
        <w:rPr>
          <w:rFonts w:ascii="Arial" w:hAnsi="Arial" w:cs="Arial"/>
          <w:sz w:val="20"/>
          <w:szCs w:val="20"/>
        </w:rPr>
      </w:pPr>
    </w:p>
    <w:p w14:paraId="1F0E73AE" w14:textId="77777777" w:rsidR="00AE55CA" w:rsidRPr="00442936" w:rsidRDefault="003B1F75">
      <w:pPr>
        <w:pStyle w:val="Corpotesto"/>
        <w:contextualSpacing/>
        <w:jc w:val="both"/>
        <w:rPr>
          <w:rFonts w:cs="Arial"/>
          <w:b/>
          <w:bCs/>
          <w:sz w:val="20"/>
          <w:szCs w:val="20"/>
        </w:rPr>
      </w:pPr>
      <w:r w:rsidRPr="00442936">
        <w:rPr>
          <w:rFonts w:cs="Arial"/>
          <w:b/>
          <w:bCs/>
          <w:sz w:val="20"/>
          <w:szCs w:val="20"/>
        </w:rPr>
        <w:t>11.2 Valutazione dell’offerta economica</w:t>
      </w:r>
    </w:p>
    <w:p w14:paraId="0878A704" w14:textId="77777777" w:rsidR="00AE55CA" w:rsidRDefault="00AE55CA">
      <w:pPr>
        <w:tabs>
          <w:tab w:val="left" w:pos="284"/>
        </w:tabs>
        <w:jc w:val="both"/>
        <w:rPr>
          <w:rFonts w:ascii="Arial" w:hAnsi="Arial" w:cs="Arial"/>
          <w:sz w:val="20"/>
          <w:szCs w:val="20"/>
        </w:rPr>
      </w:pPr>
    </w:p>
    <w:p w14:paraId="17ABFEE6" w14:textId="77777777" w:rsidR="00AE55CA" w:rsidRDefault="003B1F75">
      <w:pPr>
        <w:pStyle w:val="Titolo3"/>
        <w:rPr>
          <w:rFonts w:ascii="Arial" w:hAnsi="Arial" w:cs="Arial"/>
        </w:rPr>
      </w:pPr>
      <w:bookmarkStart w:id="40" w:name="_Toc122014450"/>
      <w:bookmarkStart w:id="41" w:name="_Ref498421792"/>
      <w:r>
        <w:rPr>
          <w:rFonts w:ascii="Arial" w:hAnsi="Arial" w:cs="Arial"/>
        </w:rPr>
        <w:t>Metodo di attribuzione del coefficiente per il calcolo del punteggio dell’offerta economica</w:t>
      </w:r>
      <w:bookmarkEnd w:id="40"/>
      <w:bookmarkEnd w:id="41"/>
      <w:r>
        <w:rPr>
          <w:rFonts w:ascii="Arial" w:hAnsi="Arial" w:cs="Arial"/>
        </w:rPr>
        <w:t>:</w:t>
      </w:r>
    </w:p>
    <w:p w14:paraId="3C5E8B1B" w14:textId="77777777" w:rsidR="00AE55CA" w:rsidRDefault="003B1F75">
      <w:pPr>
        <w:pStyle w:val="Titolo3"/>
        <w:rPr>
          <w:rFonts w:ascii="Arial" w:hAnsi="Arial" w:cs="Arial"/>
        </w:rPr>
      </w:pPr>
      <w:r>
        <w:rPr>
          <w:rFonts w:ascii="Arial" w:hAnsi="Arial" w:cs="Arial"/>
        </w:rPr>
        <w:t xml:space="preserve"> </w:t>
      </w:r>
    </w:p>
    <w:p w14:paraId="120B6493" w14:textId="77777777" w:rsidR="00AE55CA" w:rsidRDefault="003B1F75">
      <w:pPr>
        <w:contextualSpacing/>
        <w:jc w:val="both"/>
        <w:rPr>
          <w:rFonts w:ascii="Arial" w:hAnsi="Arial" w:cs="Arial"/>
          <w:sz w:val="20"/>
          <w:szCs w:val="20"/>
        </w:rPr>
      </w:pPr>
      <w:r>
        <w:rPr>
          <w:rFonts w:ascii="Arial" w:hAnsi="Arial" w:cs="Arial"/>
          <w:sz w:val="20"/>
          <w:szCs w:val="20"/>
        </w:rPr>
        <w:t xml:space="preserve">Quanto all’offerta economica, è attribuito all’elemento economico un coefficiente, variabile da zero ad uno, calcolato tramite la formula </w:t>
      </w:r>
      <w:r>
        <w:rPr>
          <w:rFonts w:ascii="Arial" w:hAnsi="Arial" w:cs="Arial"/>
          <w:b/>
          <w:sz w:val="20"/>
          <w:szCs w:val="20"/>
        </w:rPr>
        <w:t xml:space="preserve">non lineare a “S” (a punteggio assoluto) </w:t>
      </w:r>
      <w:r>
        <w:rPr>
          <w:rFonts w:ascii="Arial" w:hAnsi="Arial" w:cs="Arial"/>
          <w:sz w:val="20"/>
          <w:szCs w:val="20"/>
        </w:rPr>
        <w:t>al ribasso, in funzione del prezzo:</w:t>
      </w:r>
    </w:p>
    <w:p w14:paraId="5A1E261B" w14:textId="77777777" w:rsidR="00AE55CA" w:rsidRDefault="00AE55CA">
      <w:pPr>
        <w:contextualSpacing/>
        <w:jc w:val="both"/>
        <w:rPr>
          <w:sz w:val="20"/>
          <w:szCs w:val="20"/>
        </w:rPr>
      </w:pPr>
    </w:p>
    <w:p w14:paraId="51A8B751" w14:textId="77777777" w:rsidR="00AE55CA" w:rsidRDefault="004A6632">
      <w:pPr>
        <w:contextualSpacing/>
        <w:jc w:val="center"/>
        <w:rPr>
          <w:sz w:val="20"/>
          <w:szCs w:val="20"/>
        </w:rPr>
      </w:pPr>
      <m:oMathPara>
        <m:oMathParaPr>
          <m:jc m:val="center"/>
        </m:oMathParaPr>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d>
            <m:dPr>
              <m:begChr m:val="{"/>
              <m:endChr m:val="}"/>
              <m:ctrlPr>
                <w:rPr>
                  <w:rFonts w:ascii="Cambria Math" w:hAnsi="Cambria Math"/>
                </w:rPr>
              </m:ctrlPr>
            </m:dPr>
            <m:e>
              <m:r>
                <w:rPr>
                  <w:rFonts w:ascii="Cambria Math" w:hAnsi="Cambria Math"/>
                </w:rPr>
                <m:t>1-</m:t>
              </m:r>
              <m:d>
                <m:dPr>
                  <m:begChr m:val="["/>
                  <m:endChr m:val="]"/>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k×</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BA-</m:t>
                                  </m:r>
                                  <m:sSub>
                                    <m:sSubPr>
                                      <m:ctrlPr>
                                        <w:rPr>
                                          <w:rFonts w:ascii="Cambria Math" w:hAnsi="Cambria Math"/>
                                        </w:rPr>
                                      </m:ctrlPr>
                                    </m:sSubPr>
                                    <m:e>
                                      <m:r>
                                        <w:rPr>
                                          <w:rFonts w:ascii="Cambria Math" w:hAnsi="Cambria Math"/>
                                        </w:rPr>
                                        <m:t>P</m:t>
                                      </m:r>
                                    </m:e>
                                    <m:sub>
                                      <m:r>
                                        <w:rPr>
                                          <w:rFonts w:ascii="Cambria Math" w:hAnsi="Cambria Math"/>
                                        </w:rPr>
                                        <m:t>i</m:t>
                                      </m:r>
                                    </m:sub>
                                  </m:sSub>
                                </m:num>
                                <m:den>
                                  <m:r>
                                    <w:rPr>
                                      <w:rFonts w:ascii="Cambria Math" w:hAnsi="Cambria Math"/>
                                    </w:rPr>
                                    <m:t>BA</m:t>
                                  </m:r>
                                </m:den>
                              </m:f>
                            </m:e>
                          </m:d>
                        </m:e>
                        <m:sup>
                          <m:r>
                            <w:rPr>
                              <w:rFonts w:ascii="Cambria Math" w:hAnsi="Cambria Math"/>
                            </w:rPr>
                            <m:t>n</m:t>
                          </m:r>
                        </m:sup>
                      </m:sSup>
                      <m:r>
                        <w:rPr>
                          <w:rFonts w:ascii="Cambria Math" w:hAnsi="Cambria Math"/>
                        </w:rPr>
                        <m:t>+1</m:t>
                      </m:r>
                    </m:den>
                  </m:f>
                </m:e>
              </m:d>
              <m:r>
                <w:rPr>
                  <w:rFonts w:ascii="Cambria Math" w:hAnsi="Cambria Math"/>
                </w:rPr>
                <m:t>×</m:t>
              </m:r>
              <m:d>
                <m:dPr>
                  <m:begChr m:val="["/>
                  <m:endChr m:val="]"/>
                  <m:ctrlPr>
                    <w:rPr>
                      <w:rFonts w:ascii="Cambria Math" w:hAnsi="Cambria Math"/>
                    </w:rPr>
                  </m:ctrlPr>
                </m:dPr>
                <m:e>
                  <m:r>
                    <w:rPr>
                      <w:rFonts w:ascii="Cambria Math" w:hAnsi="Cambria Math"/>
                    </w:rPr>
                    <m:t>1-</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BA-</m:t>
                              </m:r>
                              <m:sSub>
                                <m:sSubPr>
                                  <m:ctrlPr>
                                    <w:rPr>
                                      <w:rFonts w:ascii="Cambria Math" w:hAnsi="Cambria Math"/>
                                    </w:rPr>
                                  </m:ctrlPr>
                                </m:sSubPr>
                                <m:e>
                                  <m:r>
                                    <w:rPr>
                                      <w:rFonts w:ascii="Cambria Math" w:hAnsi="Cambria Math"/>
                                    </w:rPr>
                                    <m:t>P</m:t>
                                  </m:r>
                                </m:e>
                                <m:sub>
                                  <m:r>
                                    <w:rPr>
                                      <w:rFonts w:ascii="Cambria Math" w:hAnsi="Cambria Math"/>
                                    </w:rPr>
                                    <m:t>i</m:t>
                                  </m:r>
                                </m:sub>
                              </m:sSub>
                            </m:num>
                            <m:den>
                              <m:r>
                                <w:rPr>
                                  <w:rFonts w:ascii="Cambria Math" w:hAnsi="Cambria Math"/>
                                </w:rPr>
                                <m:t>BA</m:t>
                              </m:r>
                            </m:den>
                          </m:f>
                        </m:e>
                      </m:d>
                    </m:e>
                    <m:sup>
                      <m:r>
                        <w:rPr>
                          <w:rFonts w:ascii="Cambria Math" w:hAnsi="Cambria Math"/>
                        </w:rPr>
                        <m:t>m</m:t>
                      </m:r>
                    </m:sup>
                  </m:sSup>
                </m:e>
              </m:d>
            </m:e>
          </m:d>
        </m:oMath>
      </m:oMathPara>
    </w:p>
    <w:p w14:paraId="508D92A4" w14:textId="77777777" w:rsidR="00AE55CA" w:rsidRDefault="00AE55CA">
      <w:pPr>
        <w:contextualSpacing/>
        <w:jc w:val="both"/>
        <w:rPr>
          <w:sz w:val="20"/>
          <w:szCs w:val="20"/>
        </w:rPr>
      </w:pPr>
    </w:p>
    <w:p w14:paraId="623F6CDA" w14:textId="77777777" w:rsidR="00AE55CA" w:rsidRDefault="003B1F75">
      <w:pPr>
        <w:contextualSpacing/>
        <w:jc w:val="both"/>
        <w:rPr>
          <w:rFonts w:ascii="Arial" w:hAnsi="Arial" w:cs="Arial"/>
          <w:sz w:val="20"/>
          <w:szCs w:val="20"/>
        </w:rPr>
      </w:pPr>
      <w:r>
        <w:rPr>
          <w:rFonts w:ascii="Arial" w:hAnsi="Arial" w:cs="Arial"/>
          <w:sz w:val="20"/>
          <w:szCs w:val="20"/>
        </w:rPr>
        <w:t>Il punteggio economico sarà quindi determinato dalla formula:</w:t>
      </w:r>
    </w:p>
    <w:p w14:paraId="363FC7C7" w14:textId="77777777" w:rsidR="00AE55CA" w:rsidRDefault="00AE55CA">
      <w:pPr>
        <w:contextualSpacing/>
        <w:jc w:val="both"/>
        <w:rPr>
          <w:sz w:val="20"/>
          <w:szCs w:val="20"/>
        </w:rPr>
      </w:pPr>
    </w:p>
    <w:p w14:paraId="47DFFC4D" w14:textId="77777777" w:rsidR="00AE55CA" w:rsidRDefault="003B1F75">
      <w:pPr>
        <w:contextualSpacing/>
        <w:jc w:val="center"/>
        <w:rPr>
          <w:sz w:val="20"/>
          <w:szCs w:val="20"/>
        </w:rPr>
      </w:pPr>
      <m:oMathPara>
        <m:oMathParaPr>
          <m:jc m:val="center"/>
        </m:oMathParaPr>
        <m:oMath>
          <m:r>
            <w:rPr>
              <w:rFonts w:ascii="Cambria Math" w:hAnsi="Cambria Math"/>
            </w:rPr>
            <m:t>PE=</m:t>
          </m:r>
          <m:sSub>
            <m:sSubPr>
              <m:ctrlPr>
                <w:rPr>
                  <w:rFonts w:ascii="Cambria Math" w:hAnsi="Cambria Math"/>
                </w:rPr>
              </m:ctrlPr>
            </m:sSubPr>
            <m:e>
              <m:r>
                <w:rPr>
                  <w:rFonts w:ascii="Cambria Math" w:hAnsi="Cambria Math"/>
                </w:rPr>
                <m:t>PE</m:t>
              </m:r>
            </m:e>
            <m:sub>
              <m:r>
                <w:rPr>
                  <w:rFonts w:ascii="Cambria Math" w:hAnsi="Cambria Math"/>
                </w:rPr>
                <m:t>max</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oMath>
      </m:oMathPara>
    </w:p>
    <w:p w14:paraId="76DEFC19" w14:textId="77777777" w:rsidR="00AE55CA" w:rsidRDefault="00AE55CA">
      <w:pPr>
        <w:contextualSpacing/>
        <w:jc w:val="both"/>
        <w:rPr>
          <w:sz w:val="20"/>
          <w:szCs w:val="20"/>
        </w:rPr>
      </w:pPr>
    </w:p>
    <w:p w14:paraId="637A3B06" w14:textId="77777777" w:rsidR="00AE55CA" w:rsidRDefault="003B1F75">
      <w:pPr>
        <w:contextualSpacing/>
        <w:jc w:val="both"/>
        <w:rPr>
          <w:rFonts w:ascii="Arial" w:hAnsi="Arial" w:cs="Arial"/>
          <w:sz w:val="20"/>
          <w:szCs w:val="20"/>
        </w:rPr>
      </w:pPr>
      <w:r>
        <w:rPr>
          <w:rFonts w:ascii="Arial" w:hAnsi="Arial" w:cs="Arial"/>
          <w:sz w:val="20"/>
          <w:szCs w:val="20"/>
        </w:rPr>
        <w:t>dove</w:t>
      </w:r>
    </w:p>
    <w:p w14:paraId="63373D67" w14:textId="77777777" w:rsidR="00AE55CA" w:rsidRDefault="004A6632">
      <w:pPr>
        <w:contextualSpacing/>
        <w:jc w:val="both"/>
        <w:rPr>
          <w:rFonts w:ascii="Arial" w:hAnsi="Arial" w:cs="Arial"/>
          <w:sz w:val="20"/>
          <w:szCs w:val="20"/>
        </w:rPr>
      </w:pPr>
      <m:oMath>
        <m:sSub>
          <m:sSubPr>
            <m:ctrlPr>
              <w:rPr>
                <w:rFonts w:ascii="Cambria Math" w:hAnsi="Cambria Math"/>
              </w:rPr>
            </m:ctrlPr>
          </m:sSubPr>
          <m:e>
            <m:r>
              <w:rPr>
                <w:rFonts w:ascii="Cambria Math" w:hAnsi="Cambria Math"/>
              </w:rPr>
              <m:t>C</m:t>
            </m:r>
          </m:e>
          <m:sub>
            <m:r>
              <w:rPr>
                <w:rFonts w:ascii="Cambria Math" w:hAnsi="Cambria Math"/>
              </w:rPr>
              <m:t>i</m:t>
            </m:r>
          </m:sub>
        </m:sSub>
      </m:oMath>
      <w:r w:rsidR="003B1F75">
        <w:rPr>
          <w:rFonts w:ascii="Arial" w:hAnsi="Arial" w:cs="Arial"/>
          <w:sz w:val="20"/>
          <w:szCs w:val="20"/>
        </w:rPr>
        <w:t xml:space="preserve"> = coefficiente attribuito al concorrente i-esimo</w:t>
      </w:r>
    </w:p>
    <w:p w14:paraId="593B8BA8" w14:textId="77777777" w:rsidR="00AE55CA" w:rsidRDefault="004A6632">
      <w:pPr>
        <w:contextualSpacing/>
        <w:jc w:val="both"/>
        <w:rPr>
          <w:rFonts w:ascii="Arial" w:hAnsi="Arial" w:cs="Arial"/>
          <w:sz w:val="20"/>
          <w:szCs w:val="20"/>
        </w:rPr>
      </w:pPr>
      <m:oMath>
        <m:sSub>
          <m:sSubPr>
            <m:ctrlPr>
              <w:rPr>
                <w:rFonts w:ascii="Cambria Math" w:hAnsi="Cambria Math"/>
              </w:rPr>
            </m:ctrlPr>
          </m:sSubPr>
          <m:e>
            <m:r>
              <w:rPr>
                <w:rFonts w:ascii="Cambria Math" w:hAnsi="Cambria Math"/>
              </w:rPr>
              <m:t>P</m:t>
            </m:r>
          </m:e>
          <m:sub>
            <m:r>
              <w:rPr>
                <w:rFonts w:ascii="Cambria Math" w:hAnsi="Cambria Math"/>
              </w:rPr>
              <m:t>i</m:t>
            </m:r>
          </m:sub>
        </m:sSub>
      </m:oMath>
      <w:r w:rsidR="003B1F75">
        <w:rPr>
          <w:rFonts w:ascii="Arial" w:hAnsi="Arial" w:cs="Arial"/>
          <w:sz w:val="20"/>
          <w:szCs w:val="20"/>
        </w:rPr>
        <w:t xml:space="preserve"> = prezzo offerto dal concorrente i-esimo</w:t>
      </w:r>
    </w:p>
    <w:p w14:paraId="5C6993CE" w14:textId="41960D49" w:rsidR="00AE55CA" w:rsidRDefault="003B1F75">
      <w:pPr>
        <w:contextualSpacing/>
        <w:jc w:val="both"/>
        <w:rPr>
          <w:rFonts w:ascii="Arial" w:hAnsi="Arial" w:cs="Arial"/>
          <w:sz w:val="20"/>
          <w:szCs w:val="20"/>
        </w:rPr>
      </w:pPr>
      <m:oMath>
        <m:r>
          <w:rPr>
            <w:rFonts w:ascii="Cambria Math" w:hAnsi="Cambria Math"/>
          </w:rPr>
          <m:t>BA</m:t>
        </m:r>
      </m:oMath>
      <w:r>
        <w:rPr>
          <w:rFonts w:ascii="Arial" w:hAnsi="Arial" w:cs="Arial"/>
          <w:sz w:val="20"/>
          <w:szCs w:val="20"/>
        </w:rPr>
        <w:t xml:space="preserve"> = base </w:t>
      </w:r>
      <w:r w:rsidRPr="00A01071">
        <w:rPr>
          <w:rFonts w:ascii="Arial" w:hAnsi="Arial" w:cs="Arial"/>
          <w:sz w:val="20"/>
          <w:szCs w:val="20"/>
        </w:rPr>
        <w:t>d’asta [18</w:t>
      </w:r>
      <w:r w:rsidR="005321D5" w:rsidRPr="00A01071">
        <w:rPr>
          <w:rFonts w:ascii="Arial" w:hAnsi="Arial" w:cs="Arial"/>
          <w:sz w:val="20"/>
          <w:szCs w:val="20"/>
        </w:rPr>
        <w:t>0</w:t>
      </w:r>
      <w:r w:rsidRPr="00A01071">
        <w:rPr>
          <w:rFonts w:ascii="Arial" w:hAnsi="Arial" w:cs="Arial"/>
          <w:sz w:val="20"/>
          <w:szCs w:val="20"/>
        </w:rPr>
        <w:t>.000,00]</w:t>
      </w:r>
    </w:p>
    <w:p w14:paraId="595835A1" w14:textId="77777777" w:rsidR="00AE55CA" w:rsidRDefault="003B1F75">
      <w:pPr>
        <w:contextualSpacing/>
        <w:jc w:val="both"/>
        <w:rPr>
          <w:rFonts w:ascii="Arial" w:hAnsi="Arial" w:cs="Arial"/>
          <w:sz w:val="20"/>
          <w:szCs w:val="20"/>
        </w:rPr>
      </w:pPr>
      <m:oMath>
        <m:r>
          <w:rPr>
            <w:rFonts w:ascii="Cambria Math" w:hAnsi="Cambria Math"/>
          </w:rPr>
          <m:t>k,n,m</m:t>
        </m:r>
      </m:oMath>
      <w:r>
        <w:rPr>
          <w:rFonts w:ascii="Arial" w:hAnsi="Arial" w:cs="Arial"/>
          <w:sz w:val="20"/>
          <w:szCs w:val="20"/>
        </w:rPr>
        <w:t xml:space="preserve"> = parametri che determinano la forma della curva</w:t>
      </w:r>
      <w:r>
        <w:rPr>
          <w:rStyle w:val="Richiamoallanotaapidipagina"/>
          <w:rFonts w:ascii="Arial" w:hAnsi="Arial" w:cs="Arial"/>
        </w:rPr>
        <w:footnoteReference w:id="1"/>
      </w:r>
    </w:p>
    <w:p w14:paraId="280E3BA1" w14:textId="77777777" w:rsidR="00AE55CA" w:rsidRDefault="003B1F75">
      <w:pPr>
        <w:contextualSpacing/>
        <w:jc w:val="both"/>
        <w:rPr>
          <w:rFonts w:ascii="Arial" w:hAnsi="Arial" w:cs="Arial"/>
          <w:sz w:val="20"/>
          <w:szCs w:val="20"/>
        </w:rPr>
      </w:pPr>
      <m:oMath>
        <m:r>
          <w:rPr>
            <w:rFonts w:ascii="Cambria Math" w:hAnsi="Cambria Math"/>
          </w:rPr>
          <m:t>k</m:t>
        </m:r>
      </m:oMath>
      <w:r>
        <w:rPr>
          <w:rFonts w:ascii="Arial" w:hAnsi="Arial" w:cs="Arial"/>
          <w:sz w:val="20"/>
          <w:szCs w:val="20"/>
        </w:rPr>
        <w:t xml:space="preserve"> = 300</w:t>
      </w:r>
    </w:p>
    <w:p w14:paraId="451256AC" w14:textId="77777777" w:rsidR="00AE55CA" w:rsidRDefault="003B1F75">
      <w:pPr>
        <w:contextualSpacing/>
        <w:jc w:val="both"/>
        <w:rPr>
          <w:rFonts w:ascii="Arial" w:hAnsi="Arial" w:cs="Arial"/>
          <w:sz w:val="20"/>
          <w:szCs w:val="20"/>
        </w:rPr>
      </w:pPr>
      <m:oMath>
        <m:r>
          <w:rPr>
            <w:rFonts w:ascii="Cambria Math" w:hAnsi="Cambria Math"/>
          </w:rPr>
          <m:t>n</m:t>
        </m:r>
      </m:oMath>
      <w:r>
        <w:rPr>
          <w:rFonts w:ascii="Arial" w:hAnsi="Arial" w:cs="Arial"/>
          <w:sz w:val="20"/>
          <w:szCs w:val="20"/>
        </w:rPr>
        <w:t xml:space="preserve"> = 1.75</w:t>
      </w:r>
    </w:p>
    <w:p w14:paraId="6B93CD63" w14:textId="77777777" w:rsidR="00AE55CA" w:rsidRDefault="003B1F75">
      <w:pPr>
        <w:contextualSpacing/>
        <w:jc w:val="both"/>
        <w:rPr>
          <w:rFonts w:ascii="Arial" w:hAnsi="Arial" w:cs="Arial"/>
          <w:sz w:val="20"/>
          <w:szCs w:val="20"/>
        </w:rPr>
      </w:pPr>
      <m:oMath>
        <m:r>
          <w:rPr>
            <w:rFonts w:ascii="Cambria Math" w:hAnsi="Cambria Math"/>
          </w:rPr>
          <m:t>m</m:t>
        </m:r>
      </m:oMath>
      <w:r>
        <w:rPr>
          <w:rFonts w:ascii="Arial" w:hAnsi="Arial" w:cs="Arial"/>
          <w:sz w:val="20"/>
          <w:szCs w:val="20"/>
        </w:rPr>
        <w:t xml:space="preserve"> = 1.00</w:t>
      </w:r>
    </w:p>
    <w:p w14:paraId="203B450E" w14:textId="77777777" w:rsidR="00AE55CA" w:rsidRDefault="004A6632">
      <w:pPr>
        <w:contextualSpacing/>
        <w:rPr>
          <w:rFonts w:ascii="Arial" w:hAnsi="Arial" w:cs="Arial"/>
          <w:sz w:val="20"/>
          <w:szCs w:val="20"/>
        </w:rPr>
      </w:pPr>
      <m:oMathPara>
        <m:oMathParaPr>
          <m:jc m:val="left"/>
        </m:oMathParaPr>
        <m:oMath>
          <m:sSub>
            <m:sSubPr>
              <m:ctrlPr>
                <w:rPr>
                  <w:rFonts w:ascii="Cambria Math" w:hAnsi="Cambria Math"/>
                </w:rPr>
              </m:ctrlPr>
            </m:sSubPr>
            <m:e>
              <m:r>
                <w:rPr>
                  <w:rFonts w:ascii="Cambria Math" w:hAnsi="Cambria Math"/>
                </w:rPr>
                <m:t>PE</m:t>
              </m:r>
            </m:e>
            <m:sub>
              <m:r>
                <w:rPr>
                  <w:rFonts w:ascii="Cambria Math" w:hAnsi="Cambria Math"/>
                </w:rPr>
                <m:t>max</m:t>
              </m:r>
            </m:sub>
          </m:sSub>
          <m:r>
            <w:rPr>
              <w:rFonts w:ascii="Cambria Math" w:hAnsi="Cambria Math"/>
            </w:rPr>
            <m:t>=</m:t>
          </m:r>
          <m:d>
            <m:dPr>
              <m:begChr m:val="["/>
              <m:endChr m:val="]"/>
              <m:ctrlPr>
                <w:rPr>
                  <w:rFonts w:ascii="Cambria Math" w:hAnsi="Cambria Math"/>
                </w:rPr>
              </m:ctrlPr>
            </m:dPr>
            <m:e>
              <m:r>
                <w:rPr>
                  <w:rFonts w:ascii="Cambria Math" w:hAnsi="Cambria Math"/>
                </w:rPr>
                <m:t>30</m:t>
              </m:r>
            </m:e>
          </m:d>
        </m:oMath>
      </m:oMathPara>
    </w:p>
    <w:p w14:paraId="1CD4E7C1" w14:textId="77777777" w:rsidR="00AE55CA" w:rsidRDefault="00AE55CA">
      <w:pPr>
        <w:contextualSpacing/>
        <w:jc w:val="both"/>
        <w:rPr>
          <w:rFonts w:ascii="Arial" w:hAnsi="Arial" w:cs="Arial"/>
          <w:sz w:val="20"/>
          <w:szCs w:val="20"/>
        </w:rPr>
      </w:pPr>
    </w:p>
    <w:p w14:paraId="2ECB9D66" w14:textId="77777777" w:rsidR="00AE55CA" w:rsidRDefault="003B1F75">
      <w:pPr>
        <w:pStyle w:val="Titolo3"/>
        <w:rPr>
          <w:rFonts w:ascii="Arial" w:hAnsi="Arial" w:cs="Arial"/>
        </w:rPr>
      </w:pPr>
      <w:r>
        <w:rPr>
          <w:rFonts w:ascii="Arial" w:hAnsi="Arial" w:cs="Arial"/>
        </w:rPr>
        <w:t>Metodo per il calcolo dei punteggi:</w:t>
      </w:r>
    </w:p>
    <w:p w14:paraId="54621411" w14:textId="77777777" w:rsidR="00AE55CA" w:rsidRDefault="00AE55CA">
      <w:pPr>
        <w:contextualSpacing/>
      </w:pPr>
    </w:p>
    <w:p w14:paraId="51A8AAFD" w14:textId="77777777" w:rsidR="00AE55CA" w:rsidRDefault="003B1F75">
      <w:pPr>
        <w:contextualSpacing/>
        <w:jc w:val="both"/>
        <w:rPr>
          <w:rFonts w:ascii="Arial" w:hAnsi="Arial" w:cs="Arial"/>
          <w:sz w:val="20"/>
          <w:szCs w:val="20"/>
        </w:rPr>
      </w:pPr>
      <w:r>
        <w:rPr>
          <w:rFonts w:ascii="Arial" w:hAnsi="Arial" w:cs="Arial"/>
          <w:sz w:val="20"/>
          <w:szCs w:val="20"/>
        </w:rPr>
        <w:t>La commissione, terminata l’attribuzione dei coefficienti agli elementi qualitativi e quantitativi, procede, in relazione a ciascuna offerta, all’attribuzione dei punteggi per ogni singolo criterio secondo il metodo aggregativo compensatore, secondo quanto indicato nelle Linee guida dell’ANAC n. 2/2016, paragrafo VI.</w:t>
      </w:r>
    </w:p>
    <w:p w14:paraId="4EB48B71" w14:textId="77777777" w:rsidR="00AE55CA" w:rsidRDefault="00AE55CA">
      <w:pPr>
        <w:contextualSpacing/>
        <w:jc w:val="both"/>
        <w:rPr>
          <w:rFonts w:ascii="Arial" w:hAnsi="Arial" w:cs="Arial"/>
          <w:sz w:val="20"/>
          <w:szCs w:val="20"/>
        </w:rPr>
      </w:pPr>
    </w:p>
    <w:p w14:paraId="7F565E97" w14:textId="77777777" w:rsidR="00AE55CA" w:rsidRDefault="003B1F75">
      <w:pPr>
        <w:contextualSpacing/>
        <w:jc w:val="both"/>
        <w:rPr>
          <w:rFonts w:ascii="Arial" w:hAnsi="Arial" w:cs="Arial"/>
          <w:sz w:val="20"/>
          <w:szCs w:val="20"/>
        </w:rPr>
      </w:pPr>
      <w:r>
        <w:rPr>
          <w:rFonts w:ascii="Arial" w:hAnsi="Arial" w:cs="Arial"/>
          <w:sz w:val="20"/>
          <w:szCs w:val="20"/>
        </w:rPr>
        <w:t xml:space="preserve">Il punteggio per il concorrente </w:t>
      </w:r>
      <w:r>
        <w:rPr>
          <w:rFonts w:ascii="Arial" w:hAnsi="Arial" w:cs="Arial"/>
          <w:i/>
          <w:sz w:val="20"/>
          <w:szCs w:val="20"/>
        </w:rPr>
        <w:t>i-esimo</w:t>
      </w:r>
      <w:r>
        <w:rPr>
          <w:rFonts w:ascii="Arial" w:hAnsi="Arial" w:cs="Arial"/>
          <w:sz w:val="20"/>
          <w:szCs w:val="20"/>
        </w:rPr>
        <w:t xml:space="preserve"> è dato dalla seguente formula:</w:t>
      </w:r>
    </w:p>
    <w:p w14:paraId="2F77C051" w14:textId="77777777" w:rsidR="00AE55CA" w:rsidRDefault="00AE55CA">
      <w:pPr>
        <w:contextualSpacing/>
        <w:jc w:val="both"/>
        <w:rPr>
          <w:rFonts w:ascii="Arial" w:hAnsi="Arial" w:cs="Arial"/>
          <w:sz w:val="20"/>
          <w:szCs w:val="20"/>
        </w:rPr>
      </w:pPr>
    </w:p>
    <w:p w14:paraId="2019A7D6" w14:textId="77777777" w:rsidR="00AE55CA" w:rsidRDefault="004A6632">
      <w:pPr>
        <w:contextualSpacing/>
        <w:jc w:val="center"/>
        <w:rPr>
          <w:sz w:val="20"/>
          <w:szCs w:val="20"/>
        </w:rPr>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nary>
            <m:naryPr>
              <m:chr m:val="∑"/>
              <m:ctrlPr>
                <w:rPr>
                  <w:rFonts w:ascii="Cambria Math" w:hAnsi="Cambria Math"/>
                </w:rPr>
              </m:ctrlPr>
            </m:naryPr>
            <m:sub>
              <m:r>
                <w:rPr>
                  <w:rFonts w:ascii="Cambria Math" w:hAnsi="Cambria Math"/>
                </w:rPr>
                <m:t>x=1</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xi</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x</m:t>
                  </m:r>
                </m:sub>
              </m:sSub>
            </m:e>
          </m:nary>
        </m:oMath>
      </m:oMathPara>
    </w:p>
    <w:p w14:paraId="1348905D" w14:textId="77777777" w:rsidR="00AE55CA" w:rsidRDefault="003B1F75">
      <w:pPr>
        <w:contextualSpacing/>
        <w:jc w:val="both"/>
        <w:rPr>
          <w:rFonts w:ascii="Arial" w:hAnsi="Arial" w:cs="Arial"/>
          <w:sz w:val="20"/>
          <w:szCs w:val="20"/>
        </w:rPr>
      </w:pPr>
      <w:r>
        <w:rPr>
          <w:rFonts w:ascii="Arial" w:hAnsi="Arial" w:cs="Arial"/>
          <w:sz w:val="20"/>
          <w:szCs w:val="20"/>
        </w:rPr>
        <w:lastRenderedPageBreak/>
        <w:t>dove</w:t>
      </w:r>
    </w:p>
    <w:p w14:paraId="61D70E88" w14:textId="77777777" w:rsidR="00AE55CA" w:rsidRDefault="004A6632">
      <w:pPr>
        <w:contextualSpacing/>
        <w:jc w:val="both"/>
        <w:rPr>
          <w:rFonts w:ascii="Arial" w:hAnsi="Arial" w:cs="Arial"/>
          <w:sz w:val="20"/>
          <w:szCs w:val="20"/>
        </w:rPr>
      </w:pPr>
      <m:oMath>
        <m:sSub>
          <m:sSubPr>
            <m:ctrlPr>
              <w:rPr>
                <w:rFonts w:ascii="Cambria Math" w:hAnsi="Cambria Math"/>
              </w:rPr>
            </m:ctrlPr>
          </m:sSubPr>
          <m:e>
            <m:r>
              <w:rPr>
                <w:rFonts w:ascii="Cambria Math" w:hAnsi="Cambria Math"/>
              </w:rPr>
              <m:t>P</m:t>
            </m:r>
          </m:e>
          <m:sub>
            <m:r>
              <w:rPr>
                <w:rFonts w:ascii="Cambria Math" w:hAnsi="Cambria Math"/>
              </w:rPr>
              <m:t>i</m:t>
            </m:r>
          </m:sub>
        </m:sSub>
      </m:oMath>
      <w:r w:rsidR="003B1F75">
        <w:rPr>
          <w:rFonts w:ascii="Arial" w:hAnsi="Arial" w:cs="Arial"/>
          <w:sz w:val="20"/>
          <w:szCs w:val="20"/>
        </w:rPr>
        <w:t xml:space="preserve">= punteggio del concorrente </w:t>
      </w:r>
      <w:r w:rsidR="003B1F75">
        <w:rPr>
          <w:rFonts w:ascii="Arial" w:hAnsi="Arial" w:cs="Arial"/>
          <w:i/>
          <w:sz w:val="20"/>
          <w:szCs w:val="20"/>
        </w:rPr>
        <w:t>i-esimo</w:t>
      </w:r>
    </w:p>
    <w:p w14:paraId="125573F1" w14:textId="77777777" w:rsidR="00AE55CA" w:rsidRDefault="004A6632">
      <w:pPr>
        <w:contextualSpacing/>
        <w:jc w:val="both"/>
        <w:rPr>
          <w:rFonts w:ascii="Arial" w:hAnsi="Arial" w:cs="Arial"/>
          <w:sz w:val="20"/>
          <w:szCs w:val="20"/>
        </w:rPr>
      </w:pPr>
      <m:oMath>
        <m:sSub>
          <m:sSubPr>
            <m:ctrlPr>
              <w:rPr>
                <w:rFonts w:ascii="Cambria Math" w:hAnsi="Cambria Math"/>
              </w:rPr>
            </m:ctrlPr>
          </m:sSubPr>
          <m:e>
            <m:r>
              <w:rPr>
                <w:rFonts w:ascii="Cambria Math" w:hAnsi="Cambria Math"/>
              </w:rPr>
              <m:t>C</m:t>
            </m:r>
          </m:e>
          <m:sub>
            <m:r>
              <w:rPr>
                <w:rFonts w:ascii="Cambria Math" w:hAnsi="Cambria Math"/>
              </w:rPr>
              <m:t>xi</m:t>
            </m:r>
          </m:sub>
        </m:sSub>
      </m:oMath>
      <w:r w:rsidR="003B1F75">
        <w:rPr>
          <w:rFonts w:ascii="Arial" w:hAnsi="Arial" w:cs="Arial"/>
          <w:sz w:val="20"/>
          <w:szCs w:val="20"/>
        </w:rPr>
        <w:t xml:space="preserve"> = coefficiente criterio di valutazione X per il concorrente </w:t>
      </w:r>
      <w:r w:rsidR="003B1F75">
        <w:rPr>
          <w:rFonts w:ascii="Arial" w:hAnsi="Arial" w:cs="Arial"/>
          <w:i/>
          <w:sz w:val="20"/>
          <w:szCs w:val="20"/>
        </w:rPr>
        <w:t>i-esimo</w:t>
      </w:r>
    </w:p>
    <w:p w14:paraId="734D93AE" w14:textId="77777777" w:rsidR="00AE55CA" w:rsidRDefault="004A6632">
      <w:pPr>
        <w:contextualSpacing/>
        <w:jc w:val="both"/>
        <w:rPr>
          <w:rFonts w:ascii="Arial" w:hAnsi="Arial" w:cs="Arial"/>
          <w:sz w:val="20"/>
          <w:szCs w:val="20"/>
        </w:rPr>
      </w:pPr>
      <m:oMath>
        <m:sSub>
          <m:sSubPr>
            <m:ctrlPr>
              <w:rPr>
                <w:rFonts w:ascii="Cambria Math" w:hAnsi="Cambria Math"/>
              </w:rPr>
            </m:ctrlPr>
          </m:sSubPr>
          <m:e>
            <m:r>
              <w:rPr>
                <w:rFonts w:ascii="Cambria Math" w:hAnsi="Cambria Math"/>
              </w:rPr>
              <m:t>P</m:t>
            </m:r>
          </m:e>
          <m:sub>
            <m:r>
              <w:rPr>
                <w:rFonts w:ascii="Cambria Math" w:hAnsi="Cambria Math"/>
              </w:rPr>
              <m:t>x</m:t>
            </m:r>
          </m:sub>
        </m:sSub>
        <m:r>
          <w:rPr>
            <w:rFonts w:ascii="Cambria Math" w:hAnsi="Cambria Math"/>
          </w:rPr>
          <m:t>=</m:t>
        </m:r>
      </m:oMath>
      <w:r w:rsidR="003B1F75">
        <w:rPr>
          <w:rFonts w:ascii="Arial" w:hAnsi="Arial" w:cs="Arial"/>
          <w:sz w:val="20"/>
          <w:szCs w:val="20"/>
        </w:rPr>
        <w:t xml:space="preserve"> punteggio criterio X</w:t>
      </w:r>
    </w:p>
    <w:p w14:paraId="02275DB8" w14:textId="77777777" w:rsidR="00AE55CA" w:rsidRDefault="003B1F75">
      <w:pPr>
        <w:contextualSpacing/>
        <w:jc w:val="both"/>
        <w:rPr>
          <w:rFonts w:ascii="Arial" w:hAnsi="Arial" w:cs="Arial"/>
          <w:sz w:val="20"/>
          <w:szCs w:val="20"/>
        </w:rPr>
      </w:pPr>
      <w:r>
        <w:rPr>
          <w:rFonts w:ascii="Arial" w:hAnsi="Arial" w:cs="Arial"/>
          <w:sz w:val="20"/>
          <w:szCs w:val="20"/>
        </w:rPr>
        <w:t>X = 1, 2, …, n [</w:t>
      </w:r>
      <w:r>
        <w:rPr>
          <w:rFonts w:ascii="Arial" w:hAnsi="Arial" w:cs="Arial"/>
          <w:i/>
          <w:sz w:val="20"/>
          <w:szCs w:val="20"/>
        </w:rPr>
        <w:t>indicare il valore di n, ovvero il numero di criteri di valutazione</w:t>
      </w:r>
      <w:r>
        <w:rPr>
          <w:rFonts w:ascii="Arial" w:hAnsi="Arial" w:cs="Arial"/>
          <w:sz w:val="20"/>
          <w:szCs w:val="20"/>
        </w:rPr>
        <w:t>]</w:t>
      </w:r>
    </w:p>
    <w:p w14:paraId="3B4317B6" w14:textId="77777777" w:rsidR="00AE55CA" w:rsidRDefault="00AE55CA">
      <w:pPr>
        <w:contextualSpacing/>
        <w:jc w:val="both"/>
        <w:rPr>
          <w:rFonts w:ascii="Arial" w:hAnsi="Arial" w:cs="Arial"/>
          <w:sz w:val="20"/>
          <w:szCs w:val="20"/>
        </w:rPr>
      </w:pPr>
    </w:p>
    <w:p w14:paraId="17F17FFB" w14:textId="77777777" w:rsidR="00AE55CA" w:rsidRDefault="003B1F75">
      <w:pPr>
        <w:contextualSpacing/>
        <w:jc w:val="both"/>
        <w:rPr>
          <w:rFonts w:ascii="Arial" w:hAnsi="Arial" w:cs="Arial"/>
          <w:sz w:val="20"/>
          <w:szCs w:val="20"/>
        </w:rPr>
      </w:pPr>
      <w:r>
        <w:rPr>
          <w:rFonts w:ascii="Arial" w:hAnsi="Arial" w:cs="Arial"/>
          <w:sz w:val="20"/>
          <w:szCs w:val="20"/>
        </w:rPr>
        <w:t>Al risultato della suddetta operazione verranno sommati i punteggi tabellari, già espressi in valore assoluto, ottenuti dall’offerta del singolo concorrente.</w:t>
      </w:r>
    </w:p>
    <w:p w14:paraId="26C78904" w14:textId="77777777" w:rsidR="00AE55CA" w:rsidRDefault="00AE55CA">
      <w:pPr>
        <w:contextualSpacing/>
        <w:rPr>
          <w:rFonts w:ascii="Arial" w:hAnsi="Arial" w:cs="Arial"/>
          <w:sz w:val="20"/>
          <w:szCs w:val="20"/>
          <w:lang w:eastAsia="it-IT"/>
        </w:rPr>
      </w:pPr>
    </w:p>
    <w:p w14:paraId="4FE02735" w14:textId="77777777" w:rsidR="00AE55CA" w:rsidRDefault="003B1F75">
      <w:pPr>
        <w:pStyle w:val="Titolo1"/>
        <w:rPr>
          <w:rFonts w:ascii="Arial" w:eastAsiaTheme="minorEastAsia" w:hAnsi="Arial" w:cs="Arial"/>
          <w:lang w:eastAsia="it-IT"/>
        </w:rPr>
      </w:pPr>
      <w:r>
        <w:rPr>
          <w:rFonts w:ascii="Arial" w:eastAsiaTheme="minorEastAsia" w:hAnsi="Arial" w:cs="Arial"/>
          <w:lang w:eastAsia="it-IT"/>
        </w:rPr>
        <w:t xml:space="preserve">COMMISSIONE GIUDICATRICE </w:t>
      </w:r>
    </w:p>
    <w:p w14:paraId="654D0467"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La Commissione giudicatrice (nel seguito, per brevità, Commissione) è nominata dopo la scadenza del termine per la presentazione delle offerte ed è composta da un numero dispari di componenti, massimo 5 (cinque), e precisamente </w:t>
      </w:r>
      <w:r w:rsidRPr="00A01071">
        <w:rPr>
          <w:rFonts w:ascii="Arial" w:eastAsiaTheme="minorEastAsia" w:hAnsi="Arial" w:cs="Arial"/>
          <w:kern w:val="2"/>
          <w:sz w:val="20"/>
          <w:szCs w:val="20"/>
          <w:lang w:eastAsia="it-IT"/>
        </w:rPr>
        <w:t>n. 3 membri</w:t>
      </w:r>
      <w:r>
        <w:rPr>
          <w:rFonts w:ascii="Arial" w:eastAsiaTheme="minorEastAsia" w:hAnsi="Arial" w:cs="Arial"/>
          <w:kern w:val="2"/>
          <w:sz w:val="20"/>
          <w:szCs w:val="20"/>
          <w:lang w:eastAsia="it-IT"/>
        </w:rPr>
        <w:t xml:space="preserve">, esperti nello specifico settore cui si riferisce l’oggetto del contratto. </w:t>
      </w:r>
    </w:p>
    <w:p w14:paraId="56AECFB0"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In capo ai commissari non devono sussistere cause ostative alla nomina, a tal fine, prima del conferimento dell’incarico, viene richiesta apposita dichiarazione.</w:t>
      </w:r>
    </w:p>
    <w:p w14:paraId="0B627ED6"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La composizione della commissione giudicatrice e i curricula dei componenti sono pubblicati sul profilo del committente nella sezione «Amministrazione trasparente». Della Commissione può far parte il RUP anche con funzioni di Presidente.</w:t>
      </w:r>
    </w:p>
    <w:p w14:paraId="5CA8A0CC"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La commissione giudicatrice è responsabile della valutazione delle offerte tecniche ed economiche dei concorrenti e di regola, lavora a distanza con procedure telematiche che salvaguardino la riservatezza delle comunicazioni.</w:t>
      </w:r>
    </w:p>
    <w:p w14:paraId="4C2D8FC5"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Il RUP si può avvalere dell’ausilio della commissione giudicatrice ai fini della verifica della documentazione amministrativa e dell’anomalia delle offerte.</w:t>
      </w:r>
    </w:p>
    <w:p w14:paraId="0AF1545B" w14:textId="77777777" w:rsidR="00AE55CA" w:rsidRDefault="00AE55CA">
      <w:pPr>
        <w:tabs>
          <w:tab w:val="left" w:pos="567"/>
          <w:tab w:val="left" w:pos="709"/>
        </w:tabs>
        <w:contextualSpacing/>
        <w:jc w:val="both"/>
        <w:rPr>
          <w:rFonts w:ascii="Arial" w:eastAsiaTheme="minorEastAsia" w:hAnsi="Arial" w:cs="Arial"/>
          <w:kern w:val="2"/>
          <w:sz w:val="20"/>
          <w:szCs w:val="20"/>
          <w:lang w:eastAsia="it-IT"/>
        </w:rPr>
      </w:pPr>
    </w:p>
    <w:p w14:paraId="673DEE17" w14:textId="77777777" w:rsidR="00AE55CA" w:rsidRDefault="003B1F75">
      <w:pPr>
        <w:pStyle w:val="Titolo1"/>
        <w:rPr>
          <w:rFonts w:ascii="Arial" w:eastAsiaTheme="minorEastAsia" w:hAnsi="Arial" w:cs="Arial"/>
          <w:lang w:eastAsia="it-IT"/>
        </w:rPr>
      </w:pPr>
      <w:r>
        <w:rPr>
          <w:rFonts w:ascii="Arial" w:eastAsiaTheme="minorEastAsia" w:hAnsi="Arial" w:cs="Arial"/>
          <w:lang w:eastAsia="it-IT"/>
        </w:rPr>
        <w:t xml:space="preserve">SVOLGIMENTO OPERAZIONI DI GARA: VERIFICA DOCUMENTAZIONE AMMINISTRATIVA E VALUTAZIONE OFFERTE </w:t>
      </w:r>
    </w:p>
    <w:p w14:paraId="4DE3C9B0" w14:textId="77777777" w:rsidR="00AE55CA" w:rsidRDefault="00AE55CA">
      <w:pPr>
        <w:tabs>
          <w:tab w:val="left" w:pos="567"/>
          <w:tab w:val="left" w:pos="709"/>
        </w:tabs>
        <w:contextualSpacing/>
        <w:jc w:val="both"/>
        <w:rPr>
          <w:rFonts w:ascii="Arial" w:eastAsiaTheme="minorEastAsia" w:hAnsi="Arial" w:cs="Arial"/>
          <w:kern w:val="2"/>
          <w:sz w:val="20"/>
          <w:szCs w:val="20"/>
          <w:lang w:eastAsia="it-IT"/>
        </w:rPr>
      </w:pPr>
    </w:p>
    <w:p w14:paraId="36BD3CE7" w14:textId="0B9DE470"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La procedura di aggiudicazione sarà aperta il </w:t>
      </w:r>
      <w:r>
        <w:rPr>
          <w:rFonts w:ascii="Arial" w:eastAsiaTheme="minorEastAsia" w:hAnsi="Arial" w:cs="Arial"/>
          <w:kern w:val="2"/>
          <w:sz w:val="20"/>
          <w:szCs w:val="20"/>
          <w:highlight w:val="yellow"/>
          <w:lang w:eastAsia="it-IT"/>
        </w:rPr>
        <w:t>giorno ___________con inizio alle ore _________,</w:t>
      </w:r>
      <w:r>
        <w:rPr>
          <w:rFonts w:ascii="Arial" w:eastAsiaTheme="minorEastAsia" w:hAnsi="Arial" w:cs="Arial"/>
          <w:kern w:val="2"/>
          <w:sz w:val="20"/>
          <w:szCs w:val="20"/>
          <w:lang w:eastAsia="it-IT"/>
        </w:rPr>
        <w:t xml:space="preserve"> dal R</w:t>
      </w:r>
      <w:r w:rsidR="00B1530E">
        <w:rPr>
          <w:rFonts w:ascii="Arial" w:eastAsiaTheme="minorEastAsia" w:hAnsi="Arial" w:cs="Arial"/>
          <w:kern w:val="2"/>
          <w:sz w:val="20"/>
          <w:szCs w:val="20"/>
          <w:lang w:eastAsia="it-IT"/>
        </w:rPr>
        <w:t>UP</w:t>
      </w:r>
      <w:r>
        <w:rPr>
          <w:rFonts w:ascii="Arial" w:eastAsiaTheme="minorEastAsia" w:hAnsi="Arial" w:cs="Arial"/>
          <w:kern w:val="2"/>
          <w:sz w:val="20"/>
          <w:szCs w:val="20"/>
          <w:lang w:eastAsia="it-IT"/>
        </w:rPr>
        <w:t xml:space="preserve"> che procederà, in seduta pubblica, operando attraverso il Sistema, allo svolgimento delle seguenti attività:</w:t>
      </w:r>
    </w:p>
    <w:p w14:paraId="14D64D33" w14:textId="77777777" w:rsidR="00AE55CA" w:rsidRDefault="003B1F75">
      <w:pPr>
        <w:tabs>
          <w:tab w:val="left" w:pos="567"/>
          <w:tab w:val="left" w:pos="709"/>
        </w:tabs>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Verificare la conformità della documentazione amministrativa e ad attivare – se del caso – la procedura di soccorso istruttorio di cui all’art. 101 del Nuovo Codice e consegnare gli atti alla Commissione;</w:t>
      </w:r>
    </w:p>
    <w:p w14:paraId="7C5C6ADA"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La Commissione, in seduta pubblica, la cui data sarà comunicata ai concorrenti ammessi tramite la piattaforma MEPA, procederà all’apertura della busta concernente l’offerta tecnica e alla verifica della presenza dei documenti richiesti dalla presente lettera d’invito.</w:t>
      </w:r>
    </w:p>
    <w:p w14:paraId="007C186C"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In una o più sedute riservate la Commissione procederà all’esame e alla valutazione delle offerte tecniche e all’assegnazione dei relativi punteggi applicando i criteri indicati nella presente lettera d’invito.</w:t>
      </w:r>
    </w:p>
    <w:p w14:paraId="33C19804"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Successivamente la commissione procederà in seduta aperta al pubblico, la cui data sarà preventivamente comunicata tramite il Sistema ai concorrenti ammessi, all’apertura delle offerte economiche. </w:t>
      </w:r>
    </w:p>
    <w:p w14:paraId="24F18E73"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Nella medesima seduta aperta al pubblico la Commissione renderà visibile ai concorrenti attraverso il Sistema:</w:t>
      </w:r>
    </w:p>
    <w:p w14:paraId="61F28B35"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a) i punteggi tecnici attribuiti alle singole offerte tecniche; </w:t>
      </w:r>
    </w:p>
    <w:p w14:paraId="30D36601"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b) le eventuali esclusioni dalla gara dei concorrenti. </w:t>
      </w:r>
    </w:p>
    <w:p w14:paraId="38FD0C2E"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Al termine delle operazioni di cui sopra la Piattaforma consente la prosecuzione della procedura ai soli concorrenti ammessi alla valutazione delle offerte economiche.</w:t>
      </w:r>
    </w:p>
    <w:p w14:paraId="5EC9160D"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La commissione giudicatrice procede all’apertura delle offerte economiche e, quindi, alla valutazione delle offerte economiche, secondo i criteri e le modalità descritte al punto 11 e successivamente all’individuazione dell’unico parametro numerico finale per la formulazione della graduatoria.</w:t>
      </w:r>
    </w:p>
    <w:p w14:paraId="635FECA7"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7206AD23"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 10 gg dalla comunicazione. È collocato primo in graduatoria il concorrente che ha presentato la migliore offerta. Ove permanga l’ex aequo la commissione procede mediante sorteggio ad individuare il concorrente che verrà collocato primo nella graduatoria. La stazione appaltante comunica il giorno e l’ora del sorteggio secondo le modalità previste all’articolo 8 sottoparagrafo 8.3.</w:t>
      </w:r>
    </w:p>
    <w:p w14:paraId="052D1C31"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lastRenderedPageBreak/>
        <w:t>All’esito delle operazioni di cui sopra, la Commissione, redige la graduatoria e comunica la proposta di aggiudicazione al RUP.</w:t>
      </w:r>
    </w:p>
    <w:p w14:paraId="2E9F3CAC" w14:textId="01244BD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Qualora individui offerte che superano la soglia di anomalia, e in ogni altro caso in cui, in base a elementi specifici, l’offerta appaia anormalmente bassa, la Commissione, chiude la seduta dando comunicazione al RUP, che procede alla verifica dell’anomalia secondo il successivo paragrafo 1</w:t>
      </w:r>
      <w:r w:rsidR="0004355A">
        <w:rPr>
          <w:rFonts w:ascii="Arial" w:eastAsiaTheme="minorEastAsia" w:hAnsi="Arial" w:cs="Arial"/>
          <w:kern w:val="2"/>
          <w:sz w:val="20"/>
          <w:szCs w:val="20"/>
          <w:lang w:eastAsia="it-IT"/>
        </w:rPr>
        <w:t>4</w:t>
      </w:r>
      <w:r>
        <w:rPr>
          <w:rFonts w:ascii="Arial" w:eastAsiaTheme="minorEastAsia" w:hAnsi="Arial" w:cs="Arial"/>
          <w:kern w:val="2"/>
          <w:sz w:val="20"/>
          <w:szCs w:val="20"/>
          <w:lang w:eastAsia="it-IT"/>
        </w:rPr>
        <w:t>.</w:t>
      </w:r>
    </w:p>
    <w:p w14:paraId="2DE76728" w14:textId="77777777" w:rsidR="00AE55CA" w:rsidRDefault="003B1F75">
      <w:pPr>
        <w:tabs>
          <w:tab w:val="left" w:pos="567"/>
          <w:tab w:val="left" w:pos="709"/>
        </w:tabs>
        <w:contextualSpacing/>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In qualsiasi fase delle operazioni di valutazione delle offerte tecniche ed economiche, la Commissione provvede a comunicare, tempestivamente al RUP i casi di esclusione da disporre per: </w:t>
      </w:r>
    </w:p>
    <w:p w14:paraId="216D26C0" w14:textId="77777777" w:rsidR="00AE55CA" w:rsidRDefault="003B1F75">
      <w:pPr>
        <w:pStyle w:val="Paragrafoelenco"/>
        <w:numPr>
          <w:ilvl w:val="0"/>
          <w:numId w:val="11"/>
        </w:numPr>
        <w:tabs>
          <w:tab w:val="left" w:pos="284"/>
          <w:tab w:val="left" w:pos="567"/>
          <w:tab w:val="left" w:pos="993"/>
        </w:tabs>
        <w:ind w:left="0" w:firstLine="0"/>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mancata separazione dell’offerta economica dall’offerta tecnica, ovvero inserimento di elementi concernenti il prezzo nella documentazione amministrativa o nell’offerta tecnica; </w:t>
      </w:r>
    </w:p>
    <w:p w14:paraId="73745695" w14:textId="77777777" w:rsidR="00AE55CA" w:rsidRDefault="003B1F75">
      <w:pPr>
        <w:pStyle w:val="Paragrafoelenco"/>
        <w:numPr>
          <w:ilvl w:val="0"/>
          <w:numId w:val="11"/>
        </w:numPr>
        <w:tabs>
          <w:tab w:val="left" w:pos="284"/>
          <w:tab w:val="left" w:pos="567"/>
          <w:tab w:val="left" w:pos="993"/>
        </w:tabs>
        <w:ind w:left="0" w:firstLine="0"/>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 xml:space="preserve">presentazione di offerte parziali, plurime, condizionate, alternative oppure irregolari in quanto non rispettano i documenti di gara, ivi comprese le specifiche tecniche, o anormalmente basse; </w:t>
      </w:r>
    </w:p>
    <w:p w14:paraId="512A933B" w14:textId="77777777" w:rsidR="00AE55CA" w:rsidRDefault="003B1F75">
      <w:pPr>
        <w:pStyle w:val="Paragrafoelenco"/>
        <w:numPr>
          <w:ilvl w:val="0"/>
          <w:numId w:val="11"/>
        </w:numPr>
        <w:tabs>
          <w:tab w:val="left" w:pos="284"/>
          <w:tab w:val="left" w:pos="567"/>
          <w:tab w:val="left" w:pos="993"/>
        </w:tabs>
        <w:ind w:left="0" w:firstLine="0"/>
        <w:jc w:val="both"/>
        <w:rPr>
          <w:rFonts w:ascii="Arial" w:eastAsiaTheme="minorEastAsia" w:hAnsi="Arial" w:cs="Arial"/>
          <w:kern w:val="2"/>
          <w:sz w:val="20"/>
          <w:szCs w:val="20"/>
          <w:lang w:eastAsia="it-IT"/>
        </w:rPr>
      </w:pPr>
      <w:r>
        <w:rPr>
          <w:rFonts w:ascii="Arial" w:eastAsiaTheme="minorEastAsia" w:hAnsi="Arial" w:cs="Arial"/>
          <w:kern w:val="2"/>
          <w:sz w:val="20"/>
          <w:szCs w:val="20"/>
          <w:lang w:eastAsia="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695F1712" w14:textId="77777777" w:rsidR="00AE55CA" w:rsidRDefault="00AE55CA">
      <w:pPr>
        <w:tabs>
          <w:tab w:val="left" w:pos="567"/>
          <w:tab w:val="left" w:pos="709"/>
        </w:tabs>
        <w:contextualSpacing/>
        <w:jc w:val="both"/>
        <w:rPr>
          <w:rFonts w:ascii="Arial" w:eastAsiaTheme="minorEastAsia" w:hAnsi="Arial" w:cs="Arial"/>
          <w:kern w:val="2"/>
          <w:sz w:val="20"/>
          <w:szCs w:val="20"/>
          <w:lang w:eastAsia="it-IT"/>
        </w:rPr>
      </w:pPr>
    </w:p>
    <w:p w14:paraId="0005092D" w14:textId="77777777" w:rsidR="00AE55CA" w:rsidRPr="006F5122" w:rsidRDefault="003B1F75">
      <w:pPr>
        <w:pStyle w:val="Titolo1"/>
        <w:rPr>
          <w:rFonts w:ascii="Arial" w:eastAsiaTheme="minorEastAsia" w:hAnsi="Arial" w:cs="Arial"/>
          <w:lang w:eastAsia="it-IT"/>
        </w:rPr>
      </w:pPr>
      <w:bookmarkStart w:id="42" w:name="_Toc121120693"/>
      <w:bookmarkStart w:id="43" w:name="_Ref258571"/>
      <w:bookmarkStart w:id="44" w:name="_Toc127539113"/>
      <w:r w:rsidRPr="006F5122">
        <w:rPr>
          <w:rFonts w:ascii="Arial" w:eastAsiaTheme="minorEastAsia" w:hAnsi="Arial" w:cs="Arial"/>
          <w:lang w:eastAsia="it-IT"/>
        </w:rPr>
        <w:t>VERIFICA DI ANOMALIA DELLE OFFERTE</w:t>
      </w:r>
      <w:bookmarkEnd w:id="42"/>
      <w:bookmarkEnd w:id="43"/>
      <w:r w:rsidRPr="006F5122">
        <w:rPr>
          <w:rFonts w:ascii="Arial" w:eastAsiaTheme="minorEastAsia" w:hAnsi="Arial" w:cs="Arial"/>
          <w:lang w:eastAsia="it-IT"/>
        </w:rPr>
        <w:t xml:space="preserve"> </w:t>
      </w:r>
      <w:bookmarkEnd w:id="44"/>
    </w:p>
    <w:p w14:paraId="017C6F63" w14:textId="59C0E8C6" w:rsidR="00AE55CA" w:rsidRDefault="003B1F75">
      <w:pPr>
        <w:jc w:val="both"/>
        <w:rPr>
          <w:rFonts w:ascii="Arial" w:eastAsiaTheme="minorEastAsia" w:hAnsi="Arial" w:cs="Arial"/>
          <w:kern w:val="2"/>
          <w:sz w:val="20"/>
          <w:szCs w:val="20"/>
          <w:lang w:eastAsia="it-IT"/>
        </w:rPr>
      </w:pPr>
      <w:r w:rsidRPr="006F5122">
        <w:rPr>
          <w:rFonts w:ascii="Arial" w:eastAsiaTheme="minorEastAsia" w:hAnsi="Arial" w:cs="Arial"/>
          <w:kern w:val="2"/>
          <w:sz w:val="20"/>
          <w:szCs w:val="20"/>
          <w:lang w:eastAsia="it-IT"/>
        </w:rPr>
        <w:t>Nel caso in cui, in base a elementi specifici, l’offerta appaia anormalmente bassa, il RUP avvalendosi della Commissione valuta la congruità, serietà, sostenibilità e realizzabilità delle offerte che appaiono anormalmente basse.</w:t>
      </w:r>
      <w:r>
        <w:rPr>
          <w:rFonts w:ascii="Arial" w:eastAsiaTheme="minorEastAsia" w:hAnsi="Arial" w:cs="Arial"/>
          <w:kern w:val="2"/>
          <w:sz w:val="20"/>
          <w:szCs w:val="20"/>
          <w:lang w:eastAsia="it-IT"/>
        </w:rPr>
        <w:t xml:space="preserve"> Il RUP richiede all’operatore economico la presentazione, per iscritto, delle spiegazioni, se del caso indicando le componenti specifiche dell’offerta ritenute anomale. A tal fine, assegna un termine non inferiore a quindici giorni dal ricevimento della richiesta. Il RUP esamina in seduta riservata le spiegazioni fornite dall’offerente e, ove le ritenga non sufficienti ad escludere l’anomalia, richiede, per iscritto, ulteriori spiegazioni, assegnando un termine non inferiore a cinque giorni dal ricevimento della richiesta. Il RUP esclude, ai sensi dell’art. 110 del Nuovo Codice, l’offerta che, in base all’esame degli elementi forniti dall’operatore economico risulti, nel complesso, inaffidabile.</w:t>
      </w:r>
    </w:p>
    <w:p w14:paraId="1DC9CA63" w14:textId="77777777" w:rsidR="00AE55CA" w:rsidRDefault="00AE55CA">
      <w:pPr>
        <w:jc w:val="both"/>
        <w:rPr>
          <w:rFonts w:ascii="Arial" w:eastAsiaTheme="minorEastAsia" w:hAnsi="Arial" w:cs="Arial"/>
          <w:kern w:val="2"/>
          <w:sz w:val="20"/>
          <w:szCs w:val="20"/>
          <w:lang w:eastAsia="it-IT"/>
        </w:rPr>
      </w:pPr>
    </w:p>
    <w:p w14:paraId="6165EBE4" w14:textId="77777777" w:rsidR="00AE55CA" w:rsidRDefault="00AE55CA">
      <w:pPr>
        <w:rPr>
          <w:rFonts w:ascii="Arial" w:hAnsi="Arial" w:cs="Arial"/>
          <w:sz w:val="20"/>
          <w:szCs w:val="20"/>
          <w:lang w:eastAsia="it-IT"/>
        </w:rPr>
      </w:pPr>
    </w:p>
    <w:p w14:paraId="1E176A73" w14:textId="77777777" w:rsidR="00AE55CA" w:rsidRDefault="003B1F75">
      <w:pPr>
        <w:pStyle w:val="Titolo1"/>
        <w:rPr>
          <w:rFonts w:ascii="Arial" w:eastAsiaTheme="minorEastAsia" w:hAnsi="Arial" w:cs="Arial"/>
          <w:lang w:eastAsia="it-IT"/>
        </w:rPr>
      </w:pPr>
      <w:bookmarkStart w:id="45" w:name="_Toc127539114"/>
      <w:r>
        <w:rPr>
          <w:rFonts w:ascii="Arial" w:eastAsiaTheme="minorEastAsia" w:hAnsi="Arial" w:cs="Arial"/>
          <w:lang w:eastAsia="it-IT"/>
        </w:rPr>
        <w:t>AGGIUDICAZIONE DELL’APPALTO E STIPULA DEL CONTRATTO</w:t>
      </w:r>
      <w:bookmarkEnd w:id="45"/>
      <w:r>
        <w:rPr>
          <w:rFonts w:ascii="Arial" w:eastAsiaTheme="minorEastAsia" w:hAnsi="Arial" w:cs="Arial"/>
          <w:lang w:eastAsia="it-IT"/>
        </w:rPr>
        <w:t xml:space="preserve"> </w:t>
      </w:r>
    </w:p>
    <w:p w14:paraId="039C751A" w14:textId="1AD97943" w:rsidR="00AE55CA" w:rsidRDefault="003B1F75">
      <w:pPr>
        <w:jc w:val="both"/>
        <w:rPr>
          <w:rFonts w:ascii="Arial" w:hAnsi="Arial" w:cs="Arial"/>
          <w:sz w:val="20"/>
          <w:szCs w:val="20"/>
          <w:lang w:eastAsia="it-IT"/>
        </w:rPr>
      </w:pPr>
      <w:r w:rsidRPr="006F5122">
        <w:rPr>
          <w:rFonts w:ascii="Arial" w:hAnsi="Arial" w:cs="Arial"/>
          <w:sz w:val="20"/>
          <w:szCs w:val="20"/>
          <w:lang w:eastAsia="it-IT"/>
        </w:rPr>
        <w:t>L’Organo preposto alla valutazione delle offerte predispone la proposta di aggiudicazione in favore della migliore offerta non anomala.</w:t>
      </w:r>
      <w:r>
        <w:rPr>
          <w:rFonts w:ascii="Arial" w:hAnsi="Arial" w:cs="Arial"/>
          <w:sz w:val="20"/>
          <w:szCs w:val="20"/>
          <w:lang w:eastAsia="it-IT"/>
        </w:rPr>
        <w:t xml:space="preserve"> La stazione appaltante si riserva la facoltà di aggiudicare anche in presenza di una sola offerta, se ritenuta valida, come anche di non procedere all’aggiudicazione qualora nessuna offerta risulti conveniente o idonea in relazione all’oggetto del contratto.</w:t>
      </w:r>
    </w:p>
    <w:p w14:paraId="4D9D60E5" w14:textId="313A0B8A" w:rsidR="00AE55CA" w:rsidRDefault="003B1F75">
      <w:pPr>
        <w:jc w:val="both"/>
        <w:rPr>
          <w:rFonts w:ascii="Arial" w:hAnsi="Arial" w:cs="Arial"/>
          <w:sz w:val="20"/>
          <w:szCs w:val="20"/>
          <w:lang w:eastAsia="it-IT"/>
        </w:rPr>
      </w:pPr>
      <w:r>
        <w:rPr>
          <w:rFonts w:ascii="Arial" w:hAnsi="Arial" w:cs="Arial"/>
          <w:sz w:val="20"/>
          <w:szCs w:val="20"/>
          <w:lang w:eastAsia="it-IT"/>
        </w:rPr>
        <w:t>La verifica dei requisiti generali e speciali avverrà sull’offerente cui l’Amministrazione ha deciso di aggiudicare l’appalto. Prima dell’aggiudicazione, l’Amministrazione, ai sensi dell’art. 85 comma 5 del Codice, richiede al concorrente cui ha deciso di aggiudicare l’appalto di presentare i documenti di cui all’art. 105 del Nuovo Codice, ai fini della prova dell’assenza dei motivi di esclusione.</w:t>
      </w:r>
    </w:p>
    <w:p w14:paraId="3F55DD4C" w14:textId="77777777" w:rsidR="00AE55CA" w:rsidRDefault="003B1F75">
      <w:pPr>
        <w:jc w:val="both"/>
        <w:rPr>
          <w:rFonts w:ascii="Arial" w:hAnsi="Arial" w:cs="Arial"/>
          <w:sz w:val="20"/>
          <w:szCs w:val="20"/>
          <w:lang w:eastAsia="it-IT"/>
        </w:rPr>
      </w:pPr>
      <w:r>
        <w:rPr>
          <w:rFonts w:ascii="Arial" w:hAnsi="Arial" w:cs="Arial"/>
          <w:sz w:val="20"/>
          <w:szCs w:val="20"/>
          <w:lang w:eastAsia="it-IT"/>
        </w:rPr>
        <w:t>L’Amministrazione, previa verifica ed approvazione della proposta di aggiudicazione ai sensi degli artt. 17 comma 5 e 52 comma 1 del Nuovo Codice, aggiudica l’appalto.</w:t>
      </w:r>
    </w:p>
    <w:p w14:paraId="5C178DCA" w14:textId="77777777" w:rsidR="00AE55CA" w:rsidRDefault="003B1F75">
      <w:pPr>
        <w:jc w:val="both"/>
        <w:rPr>
          <w:rFonts w:ascii="Arial" w:hAnsi="Arial" w:cs="Arial"/>
          <w:sz w:val="20"/>
          <w:szCs w:val="20"/>
          <w:lang w:eastAsia="it-IT"/>
        </w:rPr>
      </w:pPr>
      <w:r>
        <w:rPr>
          <w:rFonts w:ascii="Arial" w:hAnsi="Arial" w:cs="Arial"/>
          <w:sz w:val="20"/>
          <w:szCs w:val="20"/>
          <w:lang w:eastAsia="it-IT"/>
        </w:rPr>
        <w:t>L’aggiudicazione diventa efficace, ai sensi dell’art. 17 comma 5 del Nuovo Codice, all’esito positivo della verifica del possesso dei requisiti prescritti.</w:t>
      </w:r>
    </w:p>
    <w:p w14:paraId="0EA76EC7" w14:textId="77777777" w:rsidR="00AE55CA" w:rsidRDefault="003B1F75">
      <w:pPr>
        <w:jc w:val="both"/>
        <w:rPr>
          <w:rFonts w:ascii="Arial" w:hAnsi="Arial" w:cs="Arial"/>
          <w:sz w:val="20"/>
          <w:szCs w:val="20"/>
          <w:lang w:eastAsia="it-IT"/>
        </w:rPr>
      </w:pPr>
      <w:r>
        <w:rPr>
          <w:rFonts w:ascii="Arial" w:hAnsi="Arial" w:cs="Arial"/>
          <w:sz w:val="20"/>
          <w:szCs w:val="20"/>
          <w:lang w:eastAsia="it-IT"/>
        </w:rPr>
        <w:t>In caso di esito negativo delle verifiche, si procede alla revoca dell’aggiudicazione, alla segnalazione all’ANAC nonché all’incameramento dell’eventuale garanzia provvisoria. L’appalto viene aggiudicato, quindi, al secondo graduato procedendo altresì, alle verifiche nei termini sopra indicati.</w:t>
      </w:r>
    </w:p>
    <w:p w14:paraId="48518D74" w14:textId="77777777" w:rsidR="00AE55CA" w:rsidRDefault="003B1F75">
      <w:pPr>
        <w:jc w:val="both"/>
        <w:rPr>
          <w:rFonts w:ascii="Arial" w:hAnsi="Arial" w:cs="Arial"/>
          <w:sz w:val="20"/>
          <w:szCs w:val="20"/>
          <w:lang w:eastAsia="it-IT"/>
        </w:rPr>
      </w:pPr>
      <w:r>
        <w:rPr>
          <w:rFonts w:ascii="Arial" w:hAnsi="Arial" w:cs="Arial"/>
          <w:sz w:val="20"/>
          <w:szCs w:val="20"/>
          <w:lang w:eastAsia="it-IT"/>
        </w:rPr>
        <w:t>Nell’ipotesi in cui l’appalto non possa essere aggiudicato neppure a favore del concorrente collocato al secondo posto nella graduatoria, l’appalto viene aggiudicato, nei termini sopra detti, scorrendo la graduatoria.</w:t>
      </w:r>
    </w:p>
    <w:p w14:paraId="7BAC67B7" w14:textId="77777777" w:rsidR="00AE55CA" w:rsidRDefault="00AE55CA">
      <w:pPr>
        <w:jc w:val="both"/>
        <w:rPr>
          <w:rFonts w:ascii="Arial" w:hAnsi="Arial" w:cs="Arial"/>
          <w:sz w:val="20"/>
          <w:szCs w:val="20"/>
          <w:lang w:eastAsia="it-IT"/>
        </w:rPr>
      </w:pPr>
    </w:p>
    <w:p w14:paraId="2013C9C0" w14:textId="77777777" w:rsidR="00AE55CA" w:rsidRDefault="003B1F75">
      <w:pPr>
        <w:jc w:val="both"/>
        <w:rPr>
          <w:rFonts w:ascii="Arial" w:hAnsi="Arial" w:cs="Arial"/>
          <w:sz w:val="20"/>
          <w:szCs w:val="20"/>
          <w:lang w:eastAsia="it-IT"/>
        </w:rPr>
      </w:pPr>
      <w:r>
        <w:rPr>
          <w:rFonts w:ascii="Arial" w:hAnsi="Arial" w:cs="Arial"/>
          <w:sz w:val="20"/>
          <w:szCs w:val="20"/>
          <w:lang w:eastAsia="it-IT"/>
        </w:rPr>
        <w:t>Così come previsto dall’art. 4, comma 1, del D.L. 76/2020, e modificato dal D.L.77/2021, divenuta efficace l’aggiudicazione, e fatto salvo l’esercizio dei poteri di autotutela nei casi consentiti dalle norme vigenti, la stipulazione del contratto di appalto deve aver luogo entro i successivi 60 giorni. Decorso tale termine l’Amministrazione si riserva di revocare la procedura ai sensi art. 21-quinquies della legge 241/1990, per ragioni di pubblico interesse ovvero nel caso in cui il finanziamento da parte del soggetto erogatore non risulti completamente trasferito. A seguito di richiesta motivata proveniente dall’aggiudicatario la data di stipula del contratto può essere differita purché ritenuta compatibile con la sollecita esecuzione del contratto stesso.</w:t>
      </w:r>
    </w:p>
    <w:p w14:paraId="322F7E60" w14:textId="77777777" w:rsidR="00AE55CA" w:rsidRDefault="003B1F75">
      <w:pPr>
        <w:jc w:val="both"/>
        <w:rPr>
          <w:rFonts w:ascii="Arial" w:hAnsi="Arial" w:cs="Arial"/>
          <w:sz w:val="20"/>
          <w:szCs w:val="20"/>
          <w:lang w:eastAsia="it-IT"/>
        </w:rPr>
      </w:pPr>
      <w:r>
        <w:rPr>
          <w:rFonts w:ascii="Arial" w:hAnsi="Arial" w:cs="Arial"/>
          <w:sz w:val="20"/>
          <w:szCs w:val="20"/>
          <w:lang w:eastAsia="it-IT"/>
        </w:rPr>
        <w:t>Il contratto è stipulato in modalità elettronica, mediante scrittura privata.</w:t>
      </w:r>
    </w:p>
    <w:p w14:paraId="6310087B" w14:textId="77777777" w:rsidR="00AE55CA" w:rsidRDefault="00AE55CA">
      <w:pPr>
        <w:jc w:val="both"/>
        <w:rPr>
          <w:rFonts w:ascii="Arial" w:hAnsi="Arial" w:cs="Arial"/>
          <w:sz w:val="20"/>
          <w:szCs w:val="20"/>
          <w:lang w:eastAsia="it-IT"/>
        </w:rPr>
      </w:pPr>
    </w:p>
    <w:p w14:paraId="79224E31" w14:textId="77777777" w:rsidR="00AE55CA" w:rsidRDefault="003B1F75">
      <w:pPr>
        <w:pStyle w:val="Titolo1"/>
        <w:rPr>
          <w:rFonts w:ascii="Arial" w:hAnsi="Arial" w:cs="Arial"/>
          <w:lang w:eastAsia="it-IT"/>
        </w:rPr>
      </w:pPr>
      <w:r>
        <w:rPr>
          <w:rFonts w:ascii="Arial" w:hAnsi="Arial" w:cs="Arial"/>
          <w:lang w:eastAsia="it-IT"/>
        </w:rPr>
        <w:t>ONERI A CARICO DELL’AGGIUDICATARIO</w:t>
      </w:r>
    </w:p>
    <w:p w14:paraId="341EA324" w14:textId="77777777" w:rsidR="00AE55CA" w:rsidRDefault="00AE55CA">
      <w:pPr>
        <w:jc w:val="both"/>
        <w:rPr>
          <w:rFonts w:ascii="Arial" w:hAnsi="Arial" w:cs="Arial"/>
          <w:sz w:val="20"/>
          <w:szCs w:val="20"/>
          <w:lang w:eastAsia="it-IT"/>
        </w:rPr>
      </w:pPr>
    </w:p>
    <w:p w14:paraId="166560F1" w14:textId="77777777" w:rsidR="00AE55CA" w:rsidRDefault="003B1F75">
      <w:pPr>
        <w:jc w:val="both"/>
        <w:rPr>
          <w:rFonts w:ascii="Arial" w:hAnsi="Arial" w:cs="Arial"/>
          <w:sz w:val="20"/>
          <w:szCs w:val="20"/>
          <w:lang w:eastAsia="it-IT"/>
        </w:rPr>
      </w:pPr>
      <w:r>
        <w:rPr>
          <w:rFonts w:ascii="Arial" w:hAnsi="Arial" w:cs="Arial"/>
          <w:sz w:val="20"/>
          <w:szCs w:val="20"/>
          <w:lang w:eastAsia="it-IT"/>
        </w:rPr>
        <w:t>Sono a carico dell’aggiudicatario tutte le spese contrattuali, gli oneri fiscali quali imposte e tasse, ivi comprese quelle di registro ove dovute, relative alla stipulazione del contratto.</w:t>
      </w:r>
    </w:p>
    <w:p w14:paraId="4A44AE41" w14:textId="77777777" w:rsidR="00AE55CA" w:rsidRDefault="003B1F75">
      <w:pPr>
        <w:jc w:val="both"/>
        <w:rPr>
          <w:rFonts w:ascii="Arial" w:hAnsi="Arial" w:cs="Arial"/>
          <w:sz w:val="20"/>
          <w:szCs w:val="20"/>
          <w:lang w:eastAsia="it-IT"/>
        </w:rPr>
      </w:pPr>
      <w:r>
        <w:rPr>
          <w:rFonts w:ascii="Arial" w:hAnsi="Arial" w:cs="Arial"/>
          <w:sz w:val="20"/>
          <w:szCs w:val="20"/>
          <w:lang w:eastAsia="it-IT"/>
        </w:rPr>
        <w:t>L’aggiudicatario è tenuto a versare al momento della stipula del contratto l'imposta di bollo come previsto dall’art. 18 comma 10 del Nuovo Codice.</w:t>
      </w:r>
    </w:p>
    <w:p w14:paraId="47DDD000" w14:textId="77777777" w:rsidR="00AE55CA" w:rsidRDefault="003B1F75">
      <w:pPr>
        <w:jc w:val="both"/>
        <w:rPr>
          <w:rFonts w:ascii="Arial" w:hAnsi="Arial" w:cs="Arial"/>
          <w:sz w:val="20"/>
          <w:szCs w:val="20"/>
          <w:lang w:eastAsia="it-IT"/>
        </w:rPr>
      </w:pPr>
      <w:r>
        <w:rPr>
          <w:rFonts w:ascii="Arial" w:hAnsi="Arial" w:cs="Arial"/>
          <w:sz w:val="20"/>
          <w:szCs w:val="20"/>
          <w:lang w:eastAsia="it-IT"/>
        </w:rPr>
        <w:t>La ditta aggiudicataria dovrà inviare al CNR-INO, entro 30 giorni dalla stipula del contratto, copia del versamento dell'imposta suddetta effettuato tramite F24 ELIDE (nel caso di operatori economici italiani o stranieri residenti in Italia) oppure copia della contabile del bonifico effettuato su IBAN: IT07Y0100003245348008120501 – BIC BITAITRRENT (nel caso di operatori economici stranieri).</w:t>
      </w:r>
    </w:p>
    <w:p w14:paraId="2381686B" w14:textId="77777777" w:rsidR="00AE55CA" w:rsidRDefault="00AE55CA">
      <w:pPr>
        <w:jc w:val="both"/>
        <w:rPr>
          <w:rFonts w:ascii="Arial" w:hAnsi="Arial" w:cs="Arial"/>
          <w:sz w:val="20"/>
          <w:szCs w:val="20"/>
          <w:lang w:eastAsia="it-IT"/>
        </w:rPr>
      </w:pPr>
    </w:p>
    <w:p w14:paraId="368F913C" w14:textId="77777777" w:rsidR="00AE55CA" w:rsidRDefault="003B1F75">
      <w:pPr>
        <w:pStyle w:val="Titolo1"/>
        <w:rPr>
          <w:rFonts w:ascii="Arial" w:hAnsi="Arial" w:cs="Arial"/>
          <w:lang w:eastAsia="it-IT"/>
        </w:rPr>
      </w:pPr>
      <w:r>
        <w:rPr>
          <w:rFonts w:ascii="Arial" w:hAnsi="Arial" w:cs="Arial"/>
          <w:lang w:eastAsia="it-IT"/>
        </w:rPr>
        <w:t>GARANZIA DEFINITIVA</w:t>
      </w:r>
    </w:p>
    <w:p w14:paraId="33EF50F3" w14:textId="77777777" w:rsidR="00AE55CA" w:rsidRDefault="003B1F75">
      <w:pPr>
        <w:jc w:val="both"/>
        <w:rPr>
          <w:rFonts w:ascii="Arial" w:hAnsi="Arial" w:cs="Arial"/>
          <w:sz w:val="20"/>
          <w:szCs w:val="20"/>
          <w:lang w:eastAsia="it-IT"/>
        </w:rPr>
      </w:pPr>
      <w:r>
        <w:rPr>
          <w:rFonts w:ascii="Arial" w:hAnsi="Arial" w:cs="Arial"/>
          <w:sz w:val="20"/>
          <w:szCs w:val="20"/>
          <w:lang w:eastAsia="it-IT"/>
        </w:rPr>
        <w:t>Prima della stipula del contratto, l’aggiudicatario deve costituire la garanzia definitiva sotto forma di cauzione o fideiussione con le modalità previste dall’articolo 106 del Nuovo Codice di importo pari al 5% (</w:t>
      </w:r>
      <w:proofErr w:type="spellStart"/>
      <w:r>
        <w:rPr>
          <w:rFonts w:ascii="Arial" w:hAnsi="Arial" w:cs="Arial"/>
          <w:sz w:val="20"/>
          <w:szCs w:val="20"/>
          <w:lang w:eastAsia="it-IT"/>
        </w:rPr>
        <w:t>cinquepercento</w:t>
      </w:r>
      <w:proofErr w:type="spellEnd"/>
      <w:r>
        <w:rPr>
          <w:rFonts w:ascii="Arial" w:hAnsi="Arial" w:cs="Arial"/>
          <w:sz w:val="20"/>
          <w:szCs w:val="20"/>
          <w:lang w:eastAsia="it-IT"/>
        </w:rPr>
        <w:t xml:space="preserve">) dell’importo contrattuale ai sensi dell’art. 53 comma 4 del Nuovo Codice. </w:t>
      </w:r>
    </w:p>
    <w:p w14:paraId="7F013C36" w14:textId="77777777" w:rsidR="00AE55CA" w:rsidRDefault="00AE55CA">
      <w:pPr>
        <w:jc w:val="both"/>
        <w:rPr>
          <w:rFonts w:ascii="Arial" w:hAnsi="Arial" w:cs="Arial"/>
          <w:sz w:val="20"/>
          <w:szCs w:val="20"/>
          <w:lang w:eastAsia="it-IT"/>
        </w:rPr>
      </w:pPr>
    </w:p>
    <w:p w14:paraId="6D6FDDD3" w14:textId="77777777" w:rsidR="00AE55CA" w:rsidRPr="006F5122" w:rsidRDefault="003B1F75">
      <w:pPr>
        <w:pStyle w:val="Titolo1"/>
        <w:rPr>
          <w:rFonts w:ascii="Arial" w:eastAsiaTheme="minorEastAsia" w:hAnsi="Arial" w:cs="Arial"/>
          <w:lang w:eastAsia="it-IT"/>
        </w:rPr>
      </w:pPr>
      <w:bookmarkStart w:id="46" w:name="_Toc127539115"/>
      <w:bookmarkStart w:id="47" w:name="_Toc121120695"/>
      <w:r w:rsidRPr="006F5122">
        <w:rPr>
          <w:rFonts w:ascii="Arial" w:eastAsiaTheme="minorEastAsia" w:hAnsi="Arial" w:cs="Arial"/>
          <w:lang w:eastAsia="it-IT"/>
        </w:rPr>
        <w:t>VERIFICA DI CONFORMITA’</w:t>
      </w:r>
      <w:bookmarkEnd w:id="46"/>
      <w:bookmarkEnd w:id="47"/>
      <w:r w:rsidRPr="006F5122">
        <w:rPr>
          <w:rFonts w:ascii="Arial" w:eastAsiaTheme="minorEastAsia" w:hAnsi="Arial" w:cs="Arial"/>
          <w:lang w:eastAsia="it-IT"/>
        </w:rPr>
        <w:t xml:space="preserve"> </w:t>
      </w:r>
    </w:p>
    <w:p w14:paraId="7B903F72" w14:textId="77777777" w:rsidR="00AE55CA" w:rsidRPr="006F5122" w:rsidRDefault="003B1F75">
      <w:pPr>
        <w:tabs>
          <w:tab w:val="left" w:pos="567"/>
          <w:tab w:val="left" w:pos="709"/>
        </w:tabs>
        <w:contextualSpacing/>
        <w:jc w:val="both"/>
        <w:rPr>
          <w:rFonts w:ascii="Arial" w:eastAsiaTheme="minorEastAsia" w:hAnsi="Arial" w:cs="Arial"/>
          <w:sz w:val="20"/>
          <w:szCs w:val="20"/>
          <w:lang w:eastAsia="it-IT"/>
        </w:rPr>
      </w:pPr>
      <w:r w:rsidRPr="006F5122">
        <w:rPr>
          <w:rFonts w:ascii="Arial" w:eastAsiaTheme="minorEastAsia" w:hAnsi="Arial" w:cs="Arial"/>
          <w:sz w:val="20"/>
          <w:szCs w:val="20"/>
          <w:lang w:eastAsia="it-IT"/>
        </w:rPr>
        <w:t xml:space="preserve">La fornitura ed i servizi accessori saranno soggetti a verifica di conformità per certificare che l'oggetto del contratto in termini prestazioni, obiettivi e caratteristiche tecniche, economiche e qualitative sia stato realizzato ed eseguito nel rispetto delle previsioni e delle pattuizioni contrattuali, ai sensi dell’art. 116 del Nuovo Codice. </w:t>
      </w:r>
    </w:p>
    <w:p w14:paraId="67DEF851" w14:textId="77777777" w:rsidR="00AE55CA" w:rsidRPr="006F5122" w:rsidRDefault="003B1F75">
      <w:pPr>
        <w:tabs>
          <w:tab w:val="left" w:pos="567"/>
          <w:tab w:val="left" w:pos="709"/>
        </w:tabs>
        <w:contextualSpacing/>
        <w:jc w:val="both"/>
        <w:rPr>
          <w:rFonts w:ascii="Arial" w:eastAsiaTheme="minorEastAsia" w:hAnsi="Arial" w:cs="Arial"/>
          <w:sz w:val="20"/>
          <w:szCs w:val="20"/>
          <w:lang w:eastAsia="it-IT"/>
        </w:rPr>
      </w:pPr>
      <w:r w:rsidRPr="006F5122">
        <w:rPr>
          <w:rFonts w:ascii="Arial" w:eastAsiaTheme="minorEastAsia" w:hAnsi="Arial" w:cs="Arial"/>
          <w:sz w:val="20"/>
          <w:szCs w:val="20"/>
          <w:lang w:eastAsia="it-IT"/>
        </w:rPr>
        <w:t>La Stazione appaltante, in luogo del certificato di verifica di conformità, emetterà il certificato di regolare esecuzione ai sensi dell’articolo sopra richiamato.</w:t>
      </w:r>
    </w:p>
    <w:p w14:paraId="6FE917A9" w14:textId="77777777" w:rsidR="00AE55CA" w:rsidRPr="006F5122" w:rsidRDefault="00AE55CA">
      <w:pPr>
        <w:tabs>
          <w:tab w:val="left" w:pos="567"/>
          <w:tab w:val="left" w:pos="709"/>
        </w:tabs>
        <w:contextualSpacing/>
        <w:jc w:val="both"/>
        <w:rPr>
          <w:rFonts w:ascii="Arial" w:eastAsiaTheme="minorEastAsia" w:hAnsi="Arial" w:cs="Arial"/>
          <w:sz w:val="20"/>
          <w:szCs w:val="20"/>
          <w:lang w:eastAsia="it-IT"/>
        </w:rPr>
      </w:pPr>
    </w:p>
    <w:p w14:paraId="5C3D9F3C" w14:textId="77777777" w:rsidR="00AE55CA" w:rsidRPr="006F5122" w:rsidRDefault="003B1F75">
      <w:pPr>
        <w:pStyle w:val="Titolo1"/>
        <w:rPr>
          <w:rFonts w:ascii="Arial" w:eastAsiaTheme="minorEastAsia" w:hAnsi="Arial" w:cs="Arial"/>
          <w:lang w:eastAsia="it-IT"/>
        </w:rPr>
      </w:pPr>
      <w:bookmarkStart w:id="48" w:name="_Toc121120696"/>
      <w:bookmarkStart w:id="49" w:name="_Ref2690253"/>
      <w:bookmarkStart w:id="50" w:name="_Toc127539116"/>
      <w:r w:rsidRPr="006F5122">
        <w:rPr>
          <w:rFonts w:ascii="Arial" w:eastAsiaTheme="minorEastAsia" w:hAnsi="Arial" w:cs="Arial"/>
          <w:lang w:eastAsia="it-IT"/>
        </w:rPr>
        <w:t>FATTURAZIONE E PAGAMENTO</w:t>
      </w:r>
      <w:bookmarkEnd w:id="48"/>
      <w:bookmarkEnd w:id="49"/>
      <w:bookmarkEnd w:id="50"/>
      <w:r w:rsidRPr="006F5122">
        <w:rPr>
          <w:rFonts w:ascii="Arial" w:eastAsiaTheme="minorEastAsia" w:hAnsi="Arial" w:cs="Arial"/>
          <w:lang w:eastAsia="it-IT"/>
        </w:rPr>
        <w:t xml:space="preserve"> </w:t>
      </w:r>
    </w:p>
    <w:p w14:paraId="3EF38C29"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Ai fini del pagamento del corrispettivo contrattuale l’Aggiudicatario stabilito e/o identificato ai fini IVA in Italia emetterà fattura elettronica ai sensi e per gli effetti del Decreto del Ministero dell’Economia e delle Finanze n. 55 del 3 aprile 2013, inviando il documento elettronico al Sistema di Interscambio che si occuperà di recapitare il documento ricevuto all’ Amministrazione. In caso di Aggiudicatario straniero la fattura dovrà essere cartacea.</w:t>
      </w:r>
    </w:p>
    <w:p w14:paraId="6F5B925E"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Il Consiglio Nazionale delle Ricerche è soggetto all’applicazione del meccanismo dello “Split Payment”.</w:t>
      </w:r>
    </w:p>
    <w:p w14:paraId="6E610B69"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 xml:space="preserve">È prevista un’anticipazione sul prezzo contrattuale, ai sensi del comma 1 dell’art. 48 del D.L. 77/2021, pari al 20% (venti per cento) da corrispondere all'Aggiudicatario, previa emissione di fattura con le modalità di cui al presente paragrafo, entro 15 (quindici) giorni solari dall'effettivo inizio della prestazione, sul conto corrente dedicato di cui alla tracciabilità dei flussi finanziari. </w:t>
      </w:r>
    </w:p>
    <w:p w14:paraId="1BFF9DE7"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L'erogazione dell'anticipazione è subordinata alla costituzione di garanzia fideiussoria bancaria o assicurativa di importo pari all’anticipazione,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w:t>
      </w:r>
    </w:p>
    <w:p w14:paraId="385969FB"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 xml:space="preserve"> </w:t>
      </w:r>
    </w:p>
    <w:p w14:paraId="59438B76"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Il pagamento della fattura relativa al saldo avverrà entro 30 (trenta) giorni solari dalla data del Certificato di regolare esecuzione (se trattasi di contratto sotto soglia) ovvero del Certificato di verifica di conformità (se trattasi di contratto sopra soglia) sul conto corrente dedicato di cui alla tracciabilità dei flussi finanziari.</w:t>
      </w:r>
    </w:p>
    <w:p w14:paraId="0F4A2070" w14:textId="77777777" w:rsidR="00AE55CA" w:rsidRDefault="00AE55CA">
      <w:pPr>
        <w:tabs>
          <w:tab w:val="left" w:pos="284"/>
          <w:tab w:val="left" w:pos="567"/>
          <w:tab w:val="left" w:pos="709"/>
        </w:tabs>
        <w:contextualSpacing/>
        <w:jc w:val="both"/>
        <w:rPr>
          <w:rFonts w:ascii="Arial" w:hAnsi="Arial" w:cs="Arial"/>
          <w:sz w:val="20"/>
          <w:szCs w:val="20"/>
          <w:lang w:eastAsia="it-IT"/>
        </w:rPr>
      </w:pPr>
    </w:p>
    <w:p w14:paraId="29CB11C0" w14:textId="77777777" w:rsidR="00AE55CA" w:rsidRDefault="003B1F75">
      <w:pPr>
        <w:tabs>
          <w:tab w:val="left" w:pos="284"/>
          <w:tab w:val="left" w:pos="567"/>
          <w:tab w:val="left" w:pos="709"/>
        </w:tabs>
        <w:contextualSpacing/>
        <w:jc w:val="both"/>
        <w:rPr>
          <w:rFonts w:ascii="Arial" w:hAnsi="Arial" w:cs="Arial"/>
          <w:sz w:val="20"/>
          <w:szCs w:val="20"/>
          <w:lang w:eastAsia="it-IT"/>
        </w:rPr>
      </w:pPr>
      <w:r>
        <w:rPr>
          <w:rFonts w:ascii="Arial" w:hAnsi="Arial" w:cs="Arial"/>
          <w:sz w:val="20"/>
          <w:szCs w:val="20"/>
          <w:lang w:eastAsia="it-IT"/>
        </w:rPr>
        <w:t xml:space="preserve">La fattura dovrà contenere i seguenti dati, pena il rifiuto della stessa: </w:t>
      </w:r>
    </w:p>
    <w:p w14:paraId="6E74BAE7" w14:textId="77777777" w:rsidR="00AE55CA" w:rsidRDefault="003B1F75">
      <w:pPr>
        <w:pStyle w:val="Paragrafoelenco"/>
        <w:numPr>
          <w:ilvl w:val="1"/>
          <w:numId w:val="6"/>
        </w:numPr>
        <w:tabs>
          <w:tab w:val="left" w:pos="284"/>
          <w:tab w:val="left" w:pos="567"/>
          <w:tab w:val="left" w:pos="709"/>
        </w:tabs>
        <w:ind w:left="0" w:firstLine="0"/>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Intestazione: </w:t>
      </w:r>
      <w:r>
        <w:rPr>
          <w:rFonts w:ascii="Arial" w:eastAsia="Calibri" w:hAnsi="Arial" w:cs="Arial"/>
          <w:bCs/>
          <w:sz w:val="20"/>
          <w:szCs w:val="20"/>
        </w:rPr>
        <w:t>Istituto Nazionale di Ottica</w:t>
      </w:r>
      <w:r>
        <w:rPr>
          <w:rFonts w:ascii="Arial" w:eastAsiaTheme="minorEastAsia" w:hAnsi="Arial" w:cs="Arial"/>
          <w:sz w:val="20"/>
          <w:szCs w:val="20"/>
          <w:lang w:eastAsia="it-IT"/>
        </w:rPr>
        <w:t xml:space="preserve"> del Consiglio Nazionale delle Ricerche; </w:t>
      </w:r>
    </w:p>
    <w:p w14:paraId="0F332D0D"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Il Codice Fiscale della Stazione appaltante: 80054330586 (in caso di Aggiudicatario italiano o straniero residente in Italia); </w:t>
      </w:r>
    </w:p>
    <w:p w14:paraId="39540C63"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 Partita IVA della Stazione appaltante: 0211831106 (in caso di Aggiudicatario straniero); </w:t>
      </w:r>
    </w:p>
    <w:p w14:paraId="686C0270"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Il riferimento al contratto </w:t>
      </w:r>
      <w:r w:rsidRPr="0013558E">
        <w:rPr>
          <w:rFonts w:ascii="Arial" w:eastAsia="Calibri" w:hAnsi="Arial" w:cs="Arial"/>
          <w:bCs/>
          <w:sz w:val="20"/>
          <w:szCs w:val="20"/>
          <w:highlight w:val="yellow"/>
        </w:rPr>
        <w:t>(N° di protocollo e data);</w:t>
      </w:r>
      <w:r>
        <w:rPr>
          <w:rFonts w:ascii="Arial" w:eastAsiaTheme="minorEastAsia" w:hAnsi="Arial" w:cs="Arial"/>
          <w:sz w:val="20"/>
          <w:szCs w:val="20"/>
          <w:lang w:eastAsia="it-IT"/>
        </w:rPr>
        <w:t xml:space="preserve"> </w:t>
      </w:r>
    </w:p>
    <w:p w14:paraId="12A65FAD"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highlight w:val="yellow"/>
          <w:lang w:eastAsia="it-IT"/>
        </w:rPr>
      </w:pPr>
      <w:r>
        <w:rPr>
          <w:rFonts w:ascii="Arial" w:eastAsiaTheme="minorEastAsia" w:hAnsi="Arial" w:cs="Arial"/>
          <w:sz w:val="20"/>
          <w:szCs w:val="20"/>
          <w:highlight w:val="yellow"/>
          <w:lang w:eastAsia="it-IT"/>
        </w:rPr>
        <w:t xml:space="preserve">Il CIG: </w:t>
      </w:r>
      <w:r>
        <w:rPr>
          <w:rFonts w:ascii="Arial" w:eastAsia="Calibri" w:hAnsi="Arial" w:cs="Arial"/>
          <w:bCs/>
          <w:sz w:val="20"/>
          <w:szCs w:val="20"/>
          <w:highlight w:val="yellow"/>
        </w:rPr>
        <w:t>___________</w:t>
      </w:r>
      <w:r>
        <w:rPr>
          <w:rFonts w:ascii="Arial" w:eastAsiaTheme="minorEastAsia" w:hAnsi="Arial" w:cs="Arial"/>
          <w:sz w:val="20"/>
          <w:szCs w:val="20"/>
          <w:highlight w:val="yellow"/>
          <w:lang w:eastAsia="it-IT"/>
        </w:rPr>
        <w:t>;</w:t>
      </w:r>
    </w:p>
    <w:p w14:paraId="13B13349" w14:textId="7D9C8B13" w:rsidR="00AE55CA" w:rsidRPr="003B1F75"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sidRPr="003B1F75">
        <w:rPr>
          <w:rFonts w:ascii="Arial" w:eastAsiaTheme="minorEastAsia" w:hAnsi="Arial" w:cs="Arial"/>
          <w:sz w:val="20"/>
          <w:szCs w:val="20"/>
          <w:lang w:eastAsia="it-IT"/>
        </w:rPr>
        <w:lastRenderedPageBreak/>
        <w:t>Il CUP: B53C22001750006;</w:t>
      </w:r>
    </w:p>
    <w:p w14:paraId="10093D48" w14:textId="2592952A"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Il CUU (Codice Unico Ufficio): </w:t>
      </w:r>
      <w:r>
        <w:rPr>
          <w:rFonts w:ascii="Arial" w:eastAsia="Calibri" w:hAnsi="Arial" w:cs="Arial"/>
          <w:bCs/>
          <w:sz w:val="20"/>
          <w:szCs w:val="20"/>
        </w:rPr>
        <w:t>RK4ZBQ</w:t>
      </w:r>
      <w:r>
        <w:rPr>
          <w:rFonts w:ascii="Arial" w:eastAsiaTheme="minorEastAsia" w:hAnsi="Arial" w:cs="Arial"/>
          <w:sz w:val="20"/>
          <w:szCs w:val="20"/>
          <w:lang w:eastAsia="it-IT"/>
        </w:rPr>
        <w:t xml:space="preserve"> (in caso di Aggiudicatario italiano o straniero residente in Italia);</w:t>
      </w:r>
    </w:p>
    <w:p w14:paraId="4D80AAC1"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L’importo imponibile (in caso di Aggiudicatario italiano o straniero residente in Italia);</w:t>
      </w:r>
    </w:p>
    <w:p w14:paraId="5C237F69"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L’importo dell’IVA (in caso di Aggiudicatario italiano o straniero residente in Italia);</w:t>
      </w:r>
    </w:p>
    <w:p w14:paraId="58DBBC0E"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Esigibilità IVA “S” scissione dei pagamenti (in caso di Aggiudicatario italiano o straniero residente in Italia);</w:t>
      </w:r>
    </w:p>
    <w:p w14:paraId="00CA47EC"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L’importo totale della fattura; </w:t>
      </w:r>
    </w:p>
    <w:p w14:paraId="6B35CC40"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L’intestazione del contratto; </w:t>
      </w:r>
    </w:p>
    <w:p w14:paraId="09E990D7"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Il codice IBAN del conto corrente dedicato</w:t>
      </w:r>
    </w:p>
    <w:p w14:paraId="6066422C" w14:textId="77777777" w:rsidR="00AE55CA" w:rsidRDefault="003B1F75">
      <w:pPr>
        <w:numPr>
          <w:ilvl w:val="1"/>
          <w:numId w:val="6"/>
        </w:numPr>
        <w:tabs>
          <w:tab w:val="left" w:pos="284"/>
          <w:tab w:val="left" w:pos="567"/>
          <w:tab w:val="left" w:pos="709"/>
        </w:tabs>
        <w:ind w:left="0" w:firstLine="0"/>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Il Commodity Code (in caso di Aggiudicatario straniero).</w:t>
      </w:r>
    </w:p>
    <w:p w14:paraId="4E05896B"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4575BC3E"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Ai fini del pagamento del corrispettivo la Stazione Appaltante procederà alle verifiche di legge. </w:t>
      </w:r>
    </w:p>
    <w:p w14:paraId="50C35F5A" w14:textId="77777777" w:rsidR="00AE55CA" w:rsidRDefault="00AE55CA">
      <w:pPr>
        <w:tabs>
          <w:tab w:val="left" w:pos="567"/>
          <w:tab w:val="left" w:pos="709"/>
        </w:tabs>
        <w:contextualSpacing/>
        <w:jc w:val="both"/>
        <w:rPr>
          <w:rFonts w:ascii="Arial" w:eastAsiaTheme="minorEastAsia" w:hAnsi="Arial" w:cs="Arial"/>
          <w:sz w:val="20"/>
          <w:szCs w:val="20"/>
          <w:lang w:eastAsia="it-IT"/>
        </w:rPr>
      </w:pPr>
    </w:p>
    <w:p w14:paraId="722DEED0" w14:textId="77777777" w:rsidR="00AE55CA" w:rsidRDefault="003B1F75">
      <w:pPr>
        <w:tabs>
          <w:tab w:val="left" w:pos="567"/>
          <w:tab w:val="left" w:pos="709"/>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In sede di liquidazione della fattura potranno essere recuperate le spese per l’applicazione di eventuali penali di cui al paragrafo 5; la Stazione Appaltante potrà sospendere, ferma restando l’applicazione delle eventuali penali, i pagamenti all’Aggiudicatario cui sono state contestate inadempienze nell’esecuzione della fornitura, fino al completo adempimento degli obblighi contrattuali (art. 1460 C.C.). Tale sospensione potrà verificarsi anche qualora insorgano contestazioni di natura amministrativa.</w:t>
      </w:r>
    </w:p>
    <w:p w14:paraId="672F89B6" w14:textId="77777777" w:rsidR="00AE55CA" w:rsidRDefault="00AE55CA">
      <w:pPr>
        <w:pStyle w:val="Titolo1"/>
        <w:numPr>
          <w:ilvl w:val="0"/>
          <w:numId w:val="0"/>
        </w:numPr>
        <w:tabs>
          <w:tab w:val="left" w:pos="426"/>
          <w:tab w:val="left" w:pos="567"/>
        </w:tabs>
        <w:rPr>
          <w:rFonts w:ascii="Arial" w:eastAsiaTheme="minorEastAsia" w:hAnsi="Arial" w:cs="Arial"/>
          <w:lang w:eastAsia="it-IT"/>
        </w:rPr>
      </w:pPr>
    </w:p>
    <w:p w14:paraId="25C2F78A" w14:textId="77777777" w:rsidR="00AE55CA" w:rsidRPr="006F5122" w:rsidRDefault="003B1F75">
      <w:pPr>
        <w:pStyle w:val="Titolo1"/>
        <w:rPr>
          <w:rFonts w:ascii="Arial" w:eastAsiaTheme="minorEastAsia" w:hAnsi="Arial" w:cs="Arial"/>
          <w:lang w:eastAsia="it-IT"/>
        </w:rPr>
      </w:pPr>
      <w:bookmarkStart w:id="51" w:name="_Toc127539117"/>
      <w:bookmarkStart w:id="52" w:name="_Toc121120697"/>
      <w:bookmarkStart w:id="53" w:name="_Ref2690293"/>
      <w:r w:rsidRPr="006F5122">
        <w:rPr>
          <w:rFonts w:ascii="Arial" w:eastAsiaTheme="minorEastAsia" w:hAnsi="Arial" w:cs="Arial"/>
          <w:lang w:eastAsia="it-IT"/>
        </w:rPr>
        <w:t>OBBLIGHI DELL’AGGIUDICATARIO RELATIVI ALLA TRACCIABILITA’ DEI FLUSSI FINANZIARI</w:t>
      </w:r>
      <w:bookmarkEnd w:id="51"/>
      <w:bookmarkEnd w:id="52"/>
      <w:bookmarkEnd w:id="53"/>
      <w:r w:rsidRPr="006F5122">
        <w:rPr>
          <w:rFonts w:ascii="Arial" w:eastAsiaTheme="minorEastAsia" w:hAnsi="Arial" w:cs="Arial"/>
          <w:lang w:eastAsia="it-IT"/>
        </w:rPr>
        <w:t xml:space="preserve"> </w:t>
      </w:r>
    </w:p>
    <w:p w14:paraId="4EE4C71F" w14:textId="77777777" w:rsidR="00AE55CA" w:rsidRPr="006F5122" w:rsidRDefault="003B1F75">
      <w:pPr>
        <w:tabs>
          <w:tab w:val="left" w:pos="567"/>
        </w:tabs>
        <w:contextualSpacing/>
        <w:jc w:val="both"/>
        <w:rPr>
          <w:rFonts w:ascii="Arial" w:eastAsiaTheme="minorEastAsia" w:hAnsi="Arial" w:cs="Arial"/>
          <w:sz w:val="20"/>
          <w:szCs w:val="20"/>
          <w:lang w:eastAsia="it-IT"/>
        </w:rPr>
      </w:pPr>
      <w:r w:rsidRPr="006F5122">
        <w:rPr>
          <w:rFonts w:ascii="Arial" w:eastAsiaTheme="minorEastAsia" w:hAnsi="Arial" w:cs="Arial"/>
          <w:sz w:val="20"/>
          <w:szCs w:val="20"/>
          <w:lang w:eastAsia="it-IT"/>
        </w:rPr>
        <w:t xml:space="preserve">L’Aggiudicatario assume tutti gli obblighi di tracciabilità dei flussi finanziari di cui all’art. 3 della Legge 13 agosto 2010 n. 136 e successive modificazioni ed integrazioni. </w:t>
      </w:r>
    </w:p>
    <w:p w14:paraId="39B7CEAC" w14:textId="77777777" w:rsidR="00AE55CA" w:rsidRPr="006F5122" w:rsidRDefault="003B1F75">
      <w:pPr>
        <w:tabs>
          <w:tab w:val="left" w:pos="567"/>
        </w:tabs>
        <w:contextualSpacing/>
        <w:jc w:val="both"/>
        <w:rPr>
          <w:rFonts w:ascii="Arial" w:eastAsiaTheme="minorEastAsia" w:hAnsi="Arial" w:cs="Arial"/>
          <w:sz w:val="20"/>
          <w:szCs w:val="20"/>
          <w:lang w:eastAsia="it-IT"/>
        </w:rPr>
      </w:pPr>
      <w:r w:rsidRPr="006F5122">
        <w:rPr>
          <w:rFonts w:ascii="Arial" w:eastAsiaTheme="minorEastAsia" w:hAnsi="Arial" w:cs="Arial"/>
          <w:sz w:val="20"/>
          <w:szCs w:val="20"/>
          <w:lang w:eastAsia="it-IT"/>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 agosto 2010 n.136. </w:t>
      </w:r>
    </w:p>
    <w:p w14:paraId="5B80713A" w14:textId="77777777" w:rsidR="00AE55CA" w:rsidRPr="006F5122" w:rsidRDefault="00AE55CA">
      <w:pPr>
        <w:tabs>
          <w:tab w:val="left" w:pos="567"/>
        </w:tabs>
        <w:contextualSpacing/>
        <w:jc w:val="both"/>
        <w:rPr>
          <w:rFonts w:ascii="Arial" w:eastAsiaTheme="minorEastAsia" w:hAnsi="Arial" w:cs="Arial"/>
          <w:sz w:val="20"/>
          <w:szCs w:val="20"/>
          <w:lang w:eastAsia="it-IT"/>
        </w:rPr>
      </w:pPr>
    </w:p>
    <w:p w14:paraId="6984A89E" w14:textId="77777777" w:rsidR="00AE55CA" w:rsidRPr="006F5122" w:rsidRDefault="003B1F75">
      <w:pPr>
        <w:pStyle w:val="Titolo1"/>
        <w:rPr>
          <w:rFonts w:ascii="Arial" w:eastAsiaTheme="minorEastAsia" w:hAnsi="Arial" w:cs="Arial"/>
          <w:lang w:eastAsia="it-IT"/>
        </w:rPr>
      </w:pPr>
      <w:bookmarkStart w:id="54" w:name="_Toc127539118"/>
      <w:r w:rsidRPr="006F5122">
        <w:rPr>
          <w:rFonts w:ascii="Arial" w:eastAsiaTheme="minorEastAsia" w:hAnsi="Arial" w:cs="Arial"/>
          <w:lang w:eastAsia="it-IT"/>
        </w:rPr>
        <w:t>RISOLUZIONE DEL CONTRATTO</w:t>
      </w:r>
      <w:bookmarkEnd w:id="54"/>
      <w:r w:rsidRPr="006F5122">
        <w:rPr>
          <w:rFonts w:ascii="Arial" w:eastAsiaTheme="minorEastAsia" w:hAnsi="Arial" w:cs="Arial"/>
          <w:lang w:eastAsia="it-IT"/>
        </w:rPr>
        <w:t xml:space="preserve"> </w:t>
      </w:r>
    </w:p>
    <w:p w14:paraId="06441570"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In adempimento a quanto previsto dall’art. 122 del Nuovo Codice la Stazione Appaltante risolverà il contratto nei casi e con le modalità ivi previste. </w:t>
      </w:r>
    </w:p>
    <w:p w14:paraId="7CF7185D"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Per quanto non previsto nel presente paragrafo, si applicano le disposizioni di cui al Codice Civile in materia di inadempimento e risoluzione del contratto. </w:t>
      </w:r>
    </w:p>
    <w:p w14:paraId="2E6EAE35" w14:textId="77777777" w:rsidR="00AE55CA" w:rsidRPr="006F5122"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In ogni caso si conviene che la Stazione Appaltante, senza bisogno di assegnare previamente alcun termine per l’adempimento, potrà risolvere di diritto il contratto ai sensi dell’art. 1456 c.c., previa dichiarazione da comunicarsi </w:t>
      </w:r>
      <w:r w:rsidRPr="006F5122">
        <w:rPr>
          <w:rFonts w:ascii="Arial" w:eastAsiaTheme="minorEastAsia" w:hAnsi="Arial" w:cs="Arial"/>
          <w:sz w:val="20"/>
          <w:szCs w:val="20"/>
          <w:lang w:eastAsia="it-IT"/>
        </w:rPr>
        <w:t>all’Aggiudicatario tramite posta elettronica certificata ovvero con raccomandata A.R., per le violazioni agli obblighi di cui ai paragrafi: “Oneri ed obblighi dell’aggiudicatario”, “Sicurezza sul Lavoro”, Subappalto e divieto di cessione del contratto”, “Riservatezza”.</w:t>
      </w:r>
    </w:p>
    <w:p w14:paraId="671DFBFF" w14:textId="77777777" w:rsidR="00AE55CA" w:rsidRPr="006F5122" w:rsidRDefault="00AE55CA">
      <w:pPr>
        <w:tabs>
          <w:tab w:val="left" w:pos="567"/>
        </w:tabs>
        <w:contextualSpacing/>
        <w:jc w:val="both"/>
        <w:rPr>
          <w:rFonts w:ascii="Arial" w:eastAsiaTheme="minorEastAsia" w:hAnsi="Arial" w:cs="Arial"/>
          <w:sz w:val="20"/>
          <w:szCs w:val="20"/>
          <w:lang w:eastAsia="it-IT"/>
        </w:rPr>
      </w:pPr>
    </w:p>
    <w:p w14:paraId="04595030" w14:textId="77777777" w:rsidR="00AE55CA" w:rsidRPr="006F5122" w:rsidRDefault="003B1F75">
      <w:pPr>
        <w:pStyle w:val="Titolo1"/>
        <w:rPr>
          <w:rFonts w:ascii="Arial" w:eastAsiaTheme="minorEastAsia" w:hAnsi="Arial" w:cs="Arial"/>
          <w:lang w:eastAsia="it-IT"/>
        </w:rPr>
      </w:pPr>
      <w:bookmarkStart w:id="55" w:name="_Toc127539119"/>
      <w:bookmarkStart w:id="56" w:name="_Toc121120700"/>
      <w:bookmarkStart w:id="57" w:name="_Ref261052"/>
      <w:r w:rsidRPr="006F5122">
        <w:rPr>
          <w:rFonts w:ascii="Arial" w:eastAsiaTheme="minorEastAsia" w:hAnsi="Arial" w:cs="Arial"/>
          <w:kern w:val="2"/>
          <w:lang w:eastAsia="it-IT"/>
        </w:rPr>
        <w:t>RISERVATEZZA</w:t>
      </w:r>
      <w:bookmarkEnd w:id="55"/>
      <w:bookmarkEnd w:id="56"/>
      <w:bookmarkEnd w:id="57"/>
      <w:r w:rsidRPr="006F5122">
        <w:rPr>
          <w:rFonts w:ascii="Arial" w:eastAsiaTheme="minorEastAsia" w:hAnsi="Arial" w:cs="Arial"/>
          <w:kern w:val="2"/>
          <w:lang w:eastAsia="it-IT"/>
        </w:rPr>
        <w:t xml:space="preserve"> </w:t>
      </w:r>
    </w:p>
    <w:p w14:paraId="7120B347"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0E8AA634"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L’Aggiudicatario è, inoltre, responsabile per l’esatta osservanza da parte dei propri dipendenti, consulenti e collaboratori di quest’ultimi, degli obblighi di riservatezza anzidetti. </w:t>
      </w:r>
    </w:p>
    <w:p w14:paraId="7816D2A8"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 xml:space="preserve">In caso di inosservanza degli obblighi di riservatezza, la Stazione Appaltante ha la facoltà di risolvere di diritto il presente contratto, fermo restando il risarcimento, da parte dell’Aggiudicatario, di tutti i danni derivanti. </w:t>
      </w:r>
    </w:p>
    <w:p w14:paraId="1E9C78F6"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La violazione dei disposti del presente paragrafo, da parte sia dell’Aggiudicatario sia del proprio personale, costituirà uno dei motivi di giusta causa di risoluzione del contratto.</w:t>
      </w:r>
    </w:p>
    <w:p w14:paraId="73D927A4" w14:textId="77777777" w:rsidR="00AE55CA" w:rsidRDefault="00AE55CA">
      <w:pPr>
        <w:tabs>
          <w:tab w:val="left" w:pos="567"/>
        </w:tabs>
        <w:contextualSpacing/>
        <w:jc w:val="both"/>
        <w:rPr>
          <w:rFonts w:ascii="Arial" w:eastAsiaTheme="minorEastAsia" w:hAnsi="Arial" w:cs="Arial"/>
          <w:sz w:val="20"/>
          <w:szCs w:val="20"/>
          <w:lang w:eastAsia="it-IT"/>
        </w:rPr>
      </w:pPr>
    </w:p>
    <w:p w14:paraId="6CD2BA35" w14:textId="77777777" w:rsidR="00AE55CA" w:rsidRDefault="003B1F75">
      <w:pPr>
        <w:pStyle w:val="Titolo1"/>
        <w:rPr>
          <w:rFonts w:ascii="Arial" w:eastAsiaTheme="minorEastAsia" w:hAnsi="Arial" w:cs="Arial"/>
          <w:lang w:eastAsia="it-IT"/>
        </w:rPr>
      </w:pPr>
      <w:bookmarkStart w:id="58" w:name="_Toc127539120"/>
      <w:r>
        <w:rPr>
          <w:rFonts w:ascii="Arial" w:eastAsiaTheme="minorEastAsia" w:hAnsi="Arial" w:cs="Arial"/>
          <w:kern w:val="2"/>
          <w:lang w:eastAsia="it-IT"/>
        </w:rPr>
        <w:t>CODICE DI COMPORTAMENTO</w:t>
      </w:r>
      <w:bookmarkEnd w:id="58"/>
      <w:r>
        <w:rPr>
          <w:rFonts w:ascii="Arial" w:eastAsiaTheme="minorEastAsia" w:hAnsi="Arial" w:cs="Arial"/>
          <w:kern w:val="2"/>
          <w:lang w:eastAsia="it-IT"/>
        </w:rPr>
        <w:t xml:space="preserve"> </w:t>
      </w:r>
    </w:p>
    <w:p w14:paraId="6B3E785D" w14:textId="77777777" w:rsidR="00AE55CA" w:rsidRDefault="00AE55CA">
      <w:pPr>
        <w:rPr>
          <w:rFonts w:ascii="Arial" w:eastAsiaTheme="minorEastAsia" w:hAnsi="Arial" w:cs="Arial"/>
          <w:lang w:eastAsia="it-IT"/>
        </w:rPr>
      </w:pPr>
    </w:p>
    <w:p w14:paraId="569C8464"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[https://www.cnr.it/sites/default/files/public/media/</w:t>
      </w:r>
    </w:p>
    <w:p w14:paraId="4D8FCCDD" w14:textId="77777777" w:rsidR="00AE55CA" w:rsidRDefault="003B1F75">
      <w:pPr>
        <w:tabs>
          <w:tab w:val="left" w:pos="567"/>
        </w:tabs>
        <w:contextualSpacing/>
        <w:jc w:val="both"/>
        <w:rPr>
          <w:rFonts w:ascii="Arial" w:eastAsiaTheme="minorEastAsia" w:hAnsi="Arial" w:cs="Arial"/>
          <w:sz w:val="20"/>
          <w:szCs w:val="20"/>
          <w:lang w:eastAsia="it-IT"/>
        </w:rPr>
      </w:pPr>
      <w:proofErr w:type="spellStart"/>
      <w:r>
        <w:rPr>
          <w:rFonts w:ascii="Arial" w:eastAsiaTheme="minorEastAsia" w:hAnsi="Arial" w:cs="Arial"/>
          <w:sz w:val="20"/>
          <w:szCs w:val="20"/>
          <w:lang w:eastAsia="it-IT"/>
        </w:rPr>
        <w:t>amministrazione_trasparente</w:t>
      </w:r>
      <w:proofErr w:type="spellEnd"/>
      <w:r>
        <w:rPr>
          <w:rFonts w:ascii="Arial" w:eastAsiaTheme="minorEastAsia" w:hAnsi="Arial" w:cs="Arial"/>
          <w:sz w:val="20"/>
          <w:szCs w:val="20"/>
          <w:lang w:eastAsia="it-IT"/>
        </w:rPr>
        <w:t xml:space="preserve">/CodiceComportamento_DPR62-2013.pdf] </w:t>
      </w:r>
    </w:p>
    <w:p w14:paraId="20B320A4"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lastRenderedPageBreak/>
        <w:t>e nel Piano Triennale di Prevenzione della Corruzione e della Trasparenza [https://www.cnr.it/sites/default/files/public/media/amministrazione_trasparente/</w:t>
      </w:r>
    </w:p>
    <w:p w14:paraId="12F7EBB4"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ptct_2022_2024_deliberaCdA_090.pdf].</w:t>
      </w:r>
    </w:p>
    <w:p w14:paraId="4C1A0DBD"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In seguito alla comunicazione di aggiudicazione e prima della stipula del contratto, ha l’onere di prendere visione dei predetti documenti pubblicati sul sito della stazione appaltante ai link prima riportati.</w:t>
      </w:r>
    </w:p>
    <w:p w14:paraId="1E8DF217" w14:textId="77777777" w:rsidR="00AE55CA" w:rsidRDefault="00AE55CA">
      <w:pPr>
        <w:tabs>
          <w:tab w:val="left" w:pos="567"/>
        </w:tabs>
        <w:contextualSpacing/>
        <w:jc w:val="both"/>
        <w:rPr>
          <w:rFonts w:ascii="Arial" w:eastAsiaTheme="minorEastAsia" w:hAnsi="Arial" w:cs="Arial"/>
          <w:sz w:val="20"/>
          <w:szCs w:val="20"/>
          <w:lang w:eastAsia="it-IT"/>
        </w:rPr>
      </w:pPr>
    </w:p>
    <w:p w14:paraId="468D1B72" w14:textId="77777777" w:rsidR="00AE55CA" w:rsidRDefault="003B1F75">
      <w:pPr>
        <w:pStyle w:val="Titolo1"/>
        <w:rPr>
          <w:rFonts w:ascii="Arial" w:eastAsiaTheme="minorEastAsia" w:hAnsi="Arial" w:cs="Arial"/>
          <w:kern w:val="2"/>
          <w:lang w:eastAsia="it-IT"/>
        </w:rPr>
      </w:pPr>
      <w:bookmarkStart w:id="59" w:name="_Toc127539121"/>
      <w:bookmarkStart w:id="60" w:name="_Toc121120701"/>
      <w:r>
        <w:rPr>
          <w:rFonts w:ascii="Arial" w:eastAsiaTheme="minorEastAsia" w:hAnsi="Arial" w:cs="Arial"/>
          <w:kern w:val="2"/>
          <w:lang w:eastAsia="it-IT"/>
        </w:rPr>
        <w:t>DEFINIZIONE DELLE CONTROVERSIE</w:t>
      </w:r>
      <w:bookmarkEnd w:id="59"/>
      <w:bookmarkEnd w:id="60"/>
      <w:r>
        <w:rPr>
          <w:rFonts w:ascii="Arial" w:eastAsiaTheme="minorEastAsia" w:hAnsi="Arial" w:cs="Arial"/>
          <w:kern w:val="2"/>
          <w:lang w:eastAsia="it-IT"/>
        </w:rPr>
        <w:t xml:space="preserve"> </w:t>
      </w:r>
    </w:p>
    <w:p w14:paraId="1CD3592B" w14:textId="77777777" w:rsidR="00AE55CA" w:rsidRDefault="003B1F75">
      <w:pPr>
        <w:tabs>
          <w:tab w:val="left" w:pos="567"/>
        </w:tabs>
        <w:contextualSpacing/>
        <w:rPr>
          <w:rFonts w:ascii="Arial" w:eastAsiaTheme="minorEastAsia" w:hAnsi="Arial" w:cs="Arial"/>
          <w:sz w:val="20"/>
          <w:szCs w:val="20"/>
          <w:lang w:eastAsia="it-IT"/>
        </w:rPr>
      </w:pPr>
      <w:r>
        <w:rPr>
          <w:rFonts w:ascii="Arial" w:eastAsiaTheme="minorEastAsia" w:hAnsi="Arial" w:cs="Arial"/>
          <w:sz w:val="20"/>
          <w:szCs w:val="20"/>
          <w:lang w:eastAsia="it-IT"/>
        </w:rPr>
        <w:t>Qualsiasi controversia relativa alla procedura di gara sarà di competenza esclusiva del Tribunale Amministrativo e, in particolare, il “Tribunale Amministrativo Regionale” – TAR di Roma.</w:t>
      </w:r>
    </w:p>
    <w:p w14:paraId="73108230" w14:textId="77777777" w:rsidR="00AE55CA" w:rsidRDefault="003B1F75">
      <w:pPr>
        <w:tabs>
          <w:tab w:val="left" w:pos="567"/>
        </w:tabs>
        <w:contextualSpacing/>
        <w:rPr>
          <w:rFonts w:ascii="Arial" w:eastAsiaTheme="minorEastAsia" w:hAnsi="Arial" w:cs="Arial"/>
          <w:sz w:val="20"/>
          <w:szCs w:val="20"/>
          <w:lang w:eastAsia="it-IT"/>
        </w:rPr>
      </w:pPr>
      <w:r>
        <w:rPr>
          <w:rFonts w:ascii="Arial" w:eastAsiaTheme="minorEastAsia" w:hAnsi="Arial" w:cs="Arial"/>
          <w:sz w:val="20"/>
          <w:szCs w:val="20"/>
          <w:lang w:eastAsia="it-IT"/>
        </w:rPr>
        <w:t>Ai sensi dell’art. 120, comma 4, del D. Lgs. 104/2010 si informa che il Consiglio Nazionale delle Ricerche fruisce del patrocinio dell’Avvocatura dello Stato.</w:t>
      </w:r>
    </w:p>
    <w:p w14:paraId="5B5F54C9" w14:textId="77777777" w:rsidR="00AE55CA" w:rsidRDefault="003B1F75">
      <w:pPr>
        <w:tabs>
          <w:tab w:val="left" w:pos="567"/>
        </w:tabs>
        <w:contextualSpacing/>
        <w:rPr>
          <w:rFonts w:ascii="Arial" w:eastAsiaTheme="minorEastAsia" w:hAnsi="Arial" w:cs="Arial"/>
          <w:sz w:val="20"/>
          <w:szCs w:val="20"/>
          <w:lang w:eastAsia="it-IT"/>
        </w:rPr>
      </w:pPr>
      <w:r>
        <w:rPr>
          <w:rFonts w:ascii="Arial" w:eastAsiaTheme="minorEastAsia" w:hAnsi="Arial" w:cs="Arial"/>
          <w:sz w:val="20"/>
          <w:szCs w:val="20"/>
          <w:lang w:eastAsia="it-IT"/>
        </w:rPr>
        <w:t xml:space="preserve"> Dopo la sottoscrizione del contratto, per qualsiasi controversia che non possa venire risolta in via amichevole, sarà competente il Foro di Roma, rimanendo espressamente esclusa la compromissione in arbitri.</w:t>
      </w:r>
    </w:p>
    <w:p w14:paraId="73448BD7" w14:textId="77777777" w:rsidR="00AE55CA" w:rsidRDefault="00AE55CA">
      <w:pPr>
        <w:tabs>
          <w:tab w:val="left" w:pos="567"/>
        </w:tabs>
        <w:contextualSpacing/>
        <w:rPr>
          <w:rFonts w:ascii="Arial" w:eastAsiaTheme="minorEastAsia" w:hAnsi="Arial" w:cs="Arial"/>
          <w:sz w:val="20"/>
          <w:szCs w:val="20"/>
          <w:lang w:eastAsia="it-IT"/>
        </w:rPr>
      </w:pPr>
    </w:p>
    <w:p w14:paraId="27B5BBBB" w14:textId="77777777" w:rsidR="00AE55CA" w:rsidRDefault="003B1F75">
      <w:pPr>
        <w:pStyle w:val="Titolo1"/>
        <w:rPr>
          <w:rFonts w:ascii="Arial" w:eastAsiaTheme="minorEastAsia" w:hAnsi="Arial" w:cs="Arial"/>
          <w:lang w:eastAsia="it-IT"/>
        </w:rPr>
      </w:pPr>
      <w:bookmarkStart w:id="61" w:name="_Toc127539122"/>
      <w:bookmarkStart w:id="62" w:name="_Toc121120702"/>
      <w:r>
        <w:rPr>
          <w:rFonts w:ascii="Arial" w:eastAsiaTheme="minorEastAsia" w:hAnsi="Arial" w:cs="Arial"/>
          <w:lang w:eastAsia="it-IT"/>
        </w:rPr>
        <w:t>TRATTAMENTO DEI DATI PERSONALI – INFORMATIVA AI SENSI DELL’ART. 13 DEL REG. UE 2016/679</w:t>
      </w:r>
      <w:bookmarkEnd w:id="61"/>
      <w:bookmarkEnd w:id="62"/>
      <w:r>
        <w:rPr>
          <w:rFonts w:ascii="Arial" w:eastAsiaTheme="minorEastAsia" w:hAnsi="Arial" w:cs="Arial"/>
          <w:lang w:eastAsia="it-IT"/>
        </w:rPr>
        <w:t xml:space="preserve"> </w:t>
      </w:r>
    </w:p>
    <w:p w14:paraId="6507F431" w14:textId="77777777" w:rsidR="00AE55CA" w:rsidRDefault="003B1F75">
      <w:pPr>
        <w:tabs>
          <w:tab w:val="left" w:pos="567"/>
        </w:tabs>
        <w:contextualSpacing/>
        <w:jc w:val="both"/>
        <w:rPr>
          <w:rFonts w:ascii="Arial" w:eastAsiaTheme="minorEastAsia" w:hAnsi="Arial" w:cs="Arial"/>
          <w:sz w:val="20"/>
          <w:szCs w:val="20"/>
          <w:lang w:eastAsia="it-IT"/>
        </w:rPr>
      </w:pPr>
      <w:bookmarkStart w:id="63" w:name="_Ref251789"/>
      <w:r>
        <w:rPr>
          <w:rFonts w:ascii="Arial" w:eastAsiaTheme="minorEastAsia" w:hAnsi="Arial" w:cs="Arial"/>
          <w:sz w:val="20"/>
          <w:szCs w:val="20"/>
          <w:lang w:eastAsia="it-IT"/>
        </w:rPr>
        <w:t xml:space="preserve">Titolare, responsabile e incaricati: il Titolare del trattamento è il Consiglio Nazionale delle Ricerche – Piazzale Aldo Moro n. 7 – 00185 Roma. Il punto di contatto presso il Titolare è il Prof. Francesco Saverio </w:t>
      </w:r>
      <w:proofErr w:type="spellStart"/>
      <w:r>
        <w:rPr>
          <w:rFonts w:ascii="Arial" w:eastAsiaTheme="minorEastAsia" w:hAnsi="Arial" w:cs="Arial"/>
          <w:sz w:val="20"/>
          <w:szCs w:val="20"/>
          <w:lang w:eastAsia="it-IT"/>
        </w:rPr>
        <w:t>Cataliotti</w:t>
      </w:r>
      <w:proofErr w:type="spellEnd"/>
      <w:r>
        <w:rPr>
          <w:rFonts w:ascii="Arial" w:eastAsiaTheme="minorEastAsia" w:hAnsi="Arial" w:cs="Arial"/>
          <w:sz w:val="20"/>
          <w:szCs w:val="20"/>
          <w:lang w:eastAsia="it-IT"/>
        </w:rPr>
        <w:t xml:space="preserve"> i cui dati di contatto sono: direttore@ino.cnr.it (e-mail), protocollo.ino@pec.cnr.it (PEC), Largo Enrico Fermi,6 – 50125 Arcetri Firenze (indirizzo). I dati di contatto del Responsabile della protezione dei dati sono: </w:t>
      </w:r>
      <w:hyperlink r:id="rId15">
        <w:r>
          <w:rPr>
            <w:rFonts w:ascii="Arial" w:eastAsiaTheme="minorEastAsia" w:hAnsi="Arial" w:cs="Arial"/>
            <w:sz w:val="20"/>
            <w:szCs w:val="20"/>
            <w:lang w:eastAsia="it-IT"/>
          </w:rPr>
          <w:t>rpd@cnr.it</w:t>
        </w:r>
      </w:hyperlink>
      <w:r>
        <w:rPr>
          <w:rFonts w:ascii="Arial" w:eastAsiaTheme="minorEastAsia" w:hAnsi="Arial" w:cs="Arial"/>
          <w:sz w:val="20"/>
          <w:szCs w:val="20"/>
          <w:lang w:eastAsia="it-IT"/>
        </w:rPr>
        <w:t xml:space="preserve"> (e-mail), </w:t>
      </w:r>
      <w:hyperlink r:id="rId16">
        <w:r>
          <w:rPr>
            <w:rFonts w:ascii="Arial" w:eastAsiaTheme="minorEastAsia" w:hAnsi="Arial" w:cs="Arial"/>
            <w:sz w:val="20"/>
            <w:szCs w:val="20"/>
            <w:lang w:eastAsia="it-IT"/>
          </w:rPr>
          <w:t>protocollo-ammcen@pec.cnr.it</w:t>
        </w:r>
      </w:hyperlink>
      <w:r>
        <w:rPr>
          <w:rFonts w:ascii="Arial" w:eastAsiaTheme="minorEastAsia" w:hAnsi="Arial" w:cs="Arial"/>
          <w:sz w:val="20"/>
          <w:szCs w:val="20"/>
          <w:lang w:eastAsia="it-IT"/>
        </w:rPr>
        <w:t xml:space="preserve"> (PEC). L’elenco aggiornato dei responsabili e degli incaricati al trattamento è custodito presso la sede del Titolare del trattamento.</w:t>
      </w:r>
      <w:bookmarkEnd w:id="63"/>
    </w:p>
    <w:p w14:paraId="7D2FD7E3"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Base giuridica e finalità del trattamento dei dati: in relazione alle attività di competenza svolte dall’Amministrazione si segnala che i dati forniti dagli operatori economici vengono acquisiti dall’Amministrazione per verificare la sussistenza dei requisiti necessari per la partecipazione alla gara e, in particolare, delle capacità amministrative e tecnico-economiche di tali soggetti, richiesti per legge ai fini della partecipazione alla gara, per l’aggiudicazione nonché per 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w:t>
      </w:r>
    </w:p>
    <w:p w14:paraId="2F7A1960"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Dati sensibili e giudiziari: Di norma i dati forniti dagli operatori economici e dall’aggiudicatario non rientrano tra i dati classificabili come “sensibili”, ai sensi dell’articolo 4, comma 1, lettera d) del Codice privacy, né nelle “categorie particolari di dati personali” di cui all’art. 9 Regolamento UE. I dati “giudiziari” di cui all’articolo 4, comma 1, lettera e) del Codice privacy e i “dati personali relativi a condanne penali e reati” di cui all’art. 10 Regolamento UE sono trattati esclusivamente per valutare il possesso dei requisiti e delle qualità previsti dalla vigente normativa applicabile.</w:t>
      </w:r>
    </w:p>
    <w:p w14:paraId="7A2C3FBA"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Modalità del trattamento: il trattamento dei dati verrà effettuato dall’Amministrazione con strumenti prevalentemente informatici oppure analogici; i dati saranno trattati in modo lecito e secondo correttezza; raccolti e registrati per lo scopo di cui al punto 0;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95CA32"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Ambito di diffusione e comunicazione dei dati: i dati potranno essere:</w:t>
      </w:r>
    </w:p>
    <w:p w14:paraId="237A8AF3"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Trattati dal personale dell’Amministrazione che cura il procedimento di gara o da quello in forza ad altri uffici che svolgono attività ad esso attinente;</w:t>
      </w:r>
    </w:p>
    <w:p w14:paraId="2F315B41"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Comunicati a collaboratori autonomi, professionisti, consulenti, che prestino attività di consulenza od assistenza all’Amministrazione in ordine al procedimento di gara, anche per l’eventuale tutela in giudizio;</w:t>
      </w:r>
    </w:p>
    <w:p w14:paraId="13869153"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Comunicati ad eventuali soggetti esterni, facenti parte delle Commissioni giudicatrici e di collaudo che verranno di volta in volta costituite;</w:t>
      </w:r>
    </w:p>
    <w:p w14:paraId="2C81E649"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Comunicati, ricorrendone le condizioni, al Ministero dell’Economia e delle Finanze o ad altra Pubblica Amministrazione, alla Agenzia per l’Italia Digitale, relativamente ai dati forniti dall’Aggiudicatario;</w:t>
      </w:r>
    </w:p>
    <w:p w14:paraId="0E6C3CCA"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Comunicati ad altri operatori economici che facciano richiesta di accesso ai documenti di gara nei limiti consentiti ai sensi della legge 7 agosto 1990, n. 241;</w:t>
      </w:r>
    </w:p>
    <w:p w14:paraId="6964C2AF"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Comunicati all’Autorità Nazionale Anticorruzione, in osservanza a quanto previsto dalla vigente normativa.</w:t>
      </w:r>
    </w:p>
    <w:p w14:paraId="598DA158"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lastRenderedPageBreak/>
        <w:t xml:space="preserve">Il nominativo dell’Aggiudicatario della gara ed il prezzo di aggiudicazione dell’appalto saranno diffusi tramite il sito internet dell’Amministrazione. Inoltre, le informazioni e i dati inerenti alla partecipazione dell’operatore economico all’iniziativa di gara, nei limiti e in applicazione dei principi e delle disposizioni in materia di dati pubblici e riutilizzo delle informazioni del settore pubblico (D. Lgs. 36/2006 e artt. 52 e 68, comma 3, del </w:t>
      </w:r>
      <w:proofErr w:type="spellStart"/>
      <w:r>
        <w:rPr>
          <w:rFonts w:ascii="Arial" w:eastAsiaTheme="minorEastAsia" w:hAnsi="Arial" w:cs="Arial"/>
          <w:sz w:val="20"/>
          <w:szCs w:val="20"/>
          <w:lang w:eastAsia="it-IT"/>
        </w:rPr>
        <w:t>D.Lgs.</w:t>
      </w:r>
      <w:proofErr w:type="spellEnd"/>
      <w:r>
        <w:rPr>
          <w:rFonts w:ascii="Arial" w:eastAsiaTheme="minorEastAsia" w:hAnsi="Arial" w:cs="Arial"/>
          <w:sz w:val="20"/>
          <w:szCs w:val="20"/>
          <w:lang w:eastAsia="it-IT"/>
        </w:rPr>
        <w:t xml:space="preserve"> 82/2005 e </w:t>
      </w:r>
      <w:proofErr w:type="spellStart"/>
      <w:r>
        <w:rPr>
          <w:rFonts w:ascii="Arial" w:eastAsiaTheme="minorEastAsia" w:hAnsi="Arial" w:cs="Arial"/>
          <w:sz w:val="20"/>
          <w:szCs w:val="20"/>
          <w:lang w:eastAsia="it-IT"/>
        </w:rPr>
        <w:t>s.m.i.</w:t>
      </w:r>
      <w:proofErr w:type="spellEnd"/>
      <w:r>
        <w:rPr>
          <w:rFonts w:ascii="Arial" w:eastAsiaTheme="minorEastAsia" w:hAnsi="Arial" w:cs="Arial"/>
          <w:sz w:val="20"/>
          <w:szCs w:val="20"/>
          <w:lang w:eastAsia="it-IT"/>
        </w:rPr>
        <w:t>), potranno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D. Lgs. n. 50/2016), l’operatore economico/Aggiudicatario prende atto ed acconsente a che i dati e la documentazione che la legge impone di pubblicare, siano pubblicati e diffusi, ricorrendone le condizioni, tramite il sito internet dell’Amministrazione.</w:t>
      </w:r>
    </w:p>
    <w:p w14:paraId="29738AC8"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Conferimento dei dati: l’operatore economico è tenuto a fornire i dati all’Amministrazione, in ragione degli obblighi legali derivanti dalla normativa in materia di appalti e contrattualistica pubblica. Il rifiuto di fornire i dati richiesti potrebbe determinare, a seconda dei casi, l’impossibilità di ammettere l’operatore economico alla partecipazione alla gara o la sua esclusione da questa o la decadenza dall'aggiudicazione, nonché l’impossibilità di stipulare il contratto.</w:t>
      </w:r>
    </w:p>
    <w:p w14:paraId="509FDE04"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Conservazione dei dati: il periodo di conservazione dei dati è di 10 anni dall’aggiudicazione o dalla conclusione dell’esecuzione del contratto. Inoltre, i dati potranno essere conservati, anche in forma aggregata, per fini di studio o statistici nel rispetto degli artt. 89 del Regolamento UE e 110 bis del Codice Privacy.</w:t>
      </w:r>
    </w:p>
    <w:p w14:paraId="2015249C" w14:textId="77777777" w:rsidR="00AE55CA" w:rsidRDefault="003B1F75">
      <w:pPr>
        <w:tabs>
          <w:tab w:val="left" w:pos="567"/>
        </w:tabs>
        <w:contextualSpacing/>
        <w:jc w:val="both"/>
        <w:rPr>
          <w:rFonts w:ascii="Arial" w:eastAsiaTheme="minorEastAsia" w:hAnsi="Arial" w:cs="Arial"/>
          <w:sz w:val="20"/>
          <w:szCs w:val="20"/>
          <w:lang w:eastAsia="it-IT"/>
        </w:rPr>
      </w:pPr>
      <w:r>
        <w:rPr>
          <w:rFonts w:ascii="Arial" w:eastAsiaTheme="minorEastAsia" w:hAnsi="Arial" w:cs="Arial"/>
          <w:sz w:val="20"/>
          <w:szCs w:val="20"/>
          <w:lang w:eastAsia="it-IT"/>
        </w:rPr>
        <w:t>Diritti dell’interessato: per “interessato” si intende qualsiasi persona fisica i cui dati sono trasferiti dall’operatore economico all’Amministrazione. All'interessato vengono riconosciuti i diritti di cui all’articolo 7 del Codice privacy e di cui agli artt. da 15 a 22 del Regolamento UE. In particolare, l’interessato ha il diritto di ottenere, in qualunque momento, presentando apposita istanza al punto di contatto di cui al paragrafo 6, la conferma che sia o meno in corso un trattamento di dati personali che lo riguardano e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In generale, non è applicabile la portabilità dei dati di cui all’art. 20 del Regolamento UE. Se in caso di esercizio del diritto di accesso e dei diritti connessi previsti dall’art. 7 del Codice privacy o dagli artt. da 15 a 22 del Regolamento UE, la risposta all'istanza non perviene nei tempi indicati o non è soddisfacente, l'interessato potrà</w:t>
      </w:r>
      <w:r>
        <w:rPr>
          <w:rFonts w:ascii="Arial" w:hAnsi="Arial" w:cs="Arial"/>
          <w:sz w:val="20"/>
          <w:szCs w:val="20"/>
        </w:rPr>
        <w:t xml:space="preserve"> </w:t>
      </w:r>
      <w:r>
        <w:rPr>
          <w:rFonts w:ascii="Arial" w:eastAsiaTheme="minorEastAsia" w:hAnsi="Arial" w:cs="Arial"/>
          <w:sz w:val="20"/>
          <w:szCs w:val="20"/>
          <w:lang w:eastAsia="it-IT"/>
        </w:rPr>
        <w:t>far valere i propri diritti innanzi all'autorità giudiziaria o rivolgendosi al Garante per la protezione dei dati personali mediante apposito reclamo.</w:t>
      </w:r>
    </w:p>
    <w:p w14:paraId="662A3063" w14:textId="77777777" w:rsidR="00AE55CA" w:rsidRDefault="00AE55CA">
      <w:pPr>
        <w:tabs>
          <w:tab w:val="left" w:pos="567"/>
        </w:tabs>
        <w:contextualSpacing/>
        <w:jc w:val="both"/>
        <w:rPr>
          <w:rFonts w:ascii="Arial" w:eastAsiaTheme="minorEastAsia" w:hAnsi="Arial" w:cs="Arial"/>
          <w:sz w:val="20"/>
          <w:szCs w:val="20"/>
          <w:lang w:eastAsia="it-IT"/>
        </w:rPr>
      </w:pPr>
    </w:p>
    <w:p w14:paraId="29AAA99C" w14:textId="77777777" w:rsidR="006F5122" w:rsidRDefault="006F5122">
      <w:pPr>
        <w:tabs>
          <w:tab w:val="left" w:pos="567"/>
        </w:tabs>
        <w:contextualSpacing/>
        <w:jc w:val="both"/>
        <w:rPr>
          <w:rFonts w:ascii="Arial" w:eastAsiaTheme="minorEastAsia" w:hAnsi="Arial" w:cs="Arial"/>
          <w:sz w:val="20"/>
          <w:szCs w:val="20"/>
          <w:lang w:eastAsia="it-IT"/>
        </w:rPr>
      </w:pPr>
    </w:p>
    <w:p w14:paraId="3B7B49DC" w14:textId="77777777" w:rsidR="006F5122" w:rsidRDefault="006F5122" w:rsidP="006F5122">
      <w:pPr>
        <w:widowControl w:val="0"/>
        <w:ind w:left="5664" w:right="993"/>
        <w:contextualSpacing/>
        <w:rPr>
          <w:rFonts w:ascii="Arial" w:eastAsia="Calibri" w:hAnsi="Arial" w:cs="Arial"/>
          <w:color w:val="000000"/>
          <w:sz w:val="20"/>
          <w:szCs w:val="20"/>
        </w:rPr>
      </w:pPr>
      <w:r>
        <w:rPr>
          <w:rFonts w:ascii="Arial" w:eastAsia="Calibri" w:hAnsi="Arial" w:cs="Arial"/>
          <w:color w:val="000000"/>
          <w:sz w:val="20"/>
          <w:szCs w:val="20"/>
        </w:rPr>
        <w:t xml:space="preserve">     </w:t>
      </w:r>
    </w:p>
    <w:p w14:paraId="1733FD2F" w14:textId="3B26A9E8" w:rsidR="006F5122" w:rsidRDefault="006F5122" w:rsidP="006F5122">
      <w:pPr>
        <w:widowControl w:val="0"/>
        <w:ind w:left="5664" w:right="993"/>
        <w:contextualSpacing/>
        <w:rPr>
          <w:rFonts w:ascii="Arial" w:eastAsia="Calibri" w:hAnsi="Arial" w:cs="Arial"/>
          <w:color w:val="000000"/>
          <w:sz w:val="20"/>
          <w:szCs w:val="20"/>
        </w:rPr>
      </w:pPr>
      <w:r>
        <w:rPr>
          <w:rFonts w:ascii="Arial" w:eastAsia="Calibri" w:hAnsi="Arial" w:cs="Arial"/>
          <w:color w:val="000000"/>
          <w:sz w:val="20"/>
          <w:szCs w:val="20"/>
        </w:rPr>
        <w:t xml:space="preserve">    Il Direttore CNR-INO</w:t>
      </w:r>
    </w:p>
    <w:p w14:paraId="4084B929" w14:textId="4C29025A" w:rsidR="006F5122" w:rsidRDefault="006F5122" w:rsidP="006F5122">
      <w:pPr>
        <w:ind w:left="5387"/>
        <w:contextualSpacing/>
        <w:rPr>
          <w:rFonts w:ascii="Arial" w:eastAsia="Calibri" w:hAnsi="Arial" w:cs="Arial"/>
          <w:color w:val="000000"/>
          <w:sz w:val="20"/>
          <w:szCs w:val="20"/>
        </w:rPr>
      </w:pPr>
      <w:r>
        <w:rPr>
          <w:rFonts w:ascii="Arial" w:eastAsia="Calibri" w:hAnsi="Arial" w:cs="Arial"/>
          <w:sz w:val="20"/>
          <w:szCs w:val="20"/>
        </w:rPr>
        <w:t xml:space="preserve">Prof. Francesco Saverio </w:t>
      </w:r>
      <w:proofErr w:type="spellStart"/>
      <w:r>
        <w:rPr>
          <w:rFonts w:ascii="Arial" w:eastAsia="Calibri" w:hAnsi="Arial" w:cs="Arial"/>
          <w:sz w:val="20"/>
          <w:szCs w:val="20"/>
        </w:rPr>
        <w:t>Cataliotti</w:t>
      </w:r>
      <w:proofErr w:type="spellEnd"/>
    </w:p>
    <w:p w14:paraId="1FC9AE64" w14:textId="77777777" w:rsidR="006F5122" w:rsidRDefault="006F5122">
      <w:pPr>
        <w:tabs>
          <w:tab w:val="left" w:pos="567"/>
        </w:tabs>
        <w:contextualSpacing/>
        <w:jc w:val="both"/>
        <w:rPr>
          <w:rFonts w:ascii="Arial" w:eastAsiaTheme="minorEastAsia" w:hAnsi="Arial" w:cs="Arial"/>
          <w:sz w:val="20"/>
          <w:szCs w:val="20"/>
          <w:lang w:eastAsia="it-IT"/>
        </w:rPr>
      </w:pPr>
    </w:p>
    <w:p w14:paraId="7B8F3D3F" w14:textId="77777777" w:rsidR="00AE55CA" w:rsidRDefault="00AE55CA">
      <w:pPr>
        <w:tabs>
          <w:tab w:val="left" w:pos="567"/>
        </w:tabs>
        <w:contextualSpacing/>
        <w:jc w:val="both"/>
        <w:rPr>
          <w:rFonts w:ascii="Arial" w:eastAsiaTheme="minorEastAsia" w:hAnsi="Arial" w:cs="Arial"/>
          <w:sz w:val="20"/>
          <w:szCs w:val="20"/>
          <w:lang w:eastAsia="it-IT"/>
        </w:rPr>
      </w:pPr>
    </w:p>
    <w:p w14:paraId="412DA0AF" w14:textId="77777777" w:rsidR="00AE55CA" w:rsidRDefault="00AE55CA">
      <w:pPr>
        <w:tabs>
          <w:tab w:val="left" w:pos="567"/>
          <w:tab w:val="left" w:pos="2947"/>
        </w:tabs>
        <w:contextualSpacing/>
        <w:jc w:val="both"/>
        <w:rPr>
          <w:rFonts w:ascii="Arial" w:hAnsi="Arial" w:cs="Arial"/>
          <w:sz w:val="20"/>
          <w:szCs w:val="20"/>
        </w:rPr>
      </w:pPr>
    </w:p>
    <w:sectPr w:rsidR="00AE55CA">
      <w:headerReference w:type="default" r:id="rId17"/>
      <w:footerReference w:type="default" r:id="rId18"/>
      <w:pgSz w:w="11906" w:h="16838"/>
      <w:pgMar w:top="1985" w:right="703" w:bottom="2268" w:left="1276" w:header="23"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C5695" w14:textId="77777777" w:rsidR="00475D22" w:rsidRDefault="00475D22">
      <w:r>
        <w:separator/>
      </w:r>
    </w:p>
  </w:endnote>
  <w:endnote w:type="continuationSeparator" w:id="0">
    <w:p w14:paraId="07580FD6" w14:textId="77777777" w:rsidR="00475D22" w:rsidRDefault="0047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65C6" w14:textId="77777777" w:rsidR="00AE55CA" w:rsidRDefault="003B1F75">
    <w:pPr>
      <w:pStyle w:val="Pidipagina"/>
      <w:tabs>
        <w:tab w:val="clear" w:pos="4819"/>
        <w:tab w:val="clear" w:pos="9638"/>
        <w:tab w:val="left" w:pos="1524"/>
      </w:tabs>
      <w:ind w:left="-709"/>
      <w:rPr>
        <w:rFonts w:ascii="Source Sans Pro" w:hAnsi="Source Sans Pro"/>
        <w:b/>
        <w:color w:val="1F3864" w:themeColor="accent1" w:themeShade="80"/>
        <w:sz w:val="18"/>
        <w:szCs w:val="18"/>
      </w:rPr>
    </w:pPr>
    <w:r>
      <w:rPr>
        <w:noProof/>
      </w:rPr>
      <w:drawing>
        <wp:anchor distT="0" distB="0" distL="0" distR="0" simplePos="0" relativeHeight="22" behindDoc="1" locked="0" layoutInCell="0" allowOverlap="1" wp14:anchorId="41768F30" wp14:editId="7C5FF5E2">
          <wp:simplePos x="0" y="0"/>
          <wp:positionH relativeFrom="column">
            <wp:posOffset>5101590</wp:posOffset>
          </wp:positionH>
          <wp:positionV relativeFrom="paragraph">
            <wp:posOffset>-460375</wp:posOffset>
          </wp:positionV>
          <wp:extent cx="1394460" cy="447675"/>
          <wp:effectExtent l="0" t="0" r="0" b="0"/>
          <wp:wrapNone/>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pic:cNvPicPr>
                    <a:picLocks noChangeAspect="1" noChangeArrowheads="1"/>
                  </pic:cNvPicPr>
                </pic:nvPicPr>
                <pic:blipFill>
                  <a:blip r:embed="rId1"/>
                  <a:stretch>
                    <a:fillRect/>
                  </a:stretch>
                </pic:blipFill>
                <pic:spPr bwMode="auto">
                  <a:xfrm>
                    <a:off x="0" y="0"/>
                    <a:ext cx="1394460" cy="447675"/>
                  </a:xfrm>
                  <a:prstGeom prst="rect">
                    <a:avLst/>
                  </a:prstGeom>
                </pic:spPr>
              </pic:pic>
            </a:graphicData>
          </a:graphic>
        </wp:anchor>
      </w:drawing>
    </w:r>
    <w:r>
      <w:rPr>
        <w:noProof/>
      </w:rPr>
      <w:drawing>
        <wp:anchor distT="0" distB="0" distL="0" distR="0" simplePos="0" relativeHeight="43" behindDoc="1" locked="0" layoutInCell="0" allowOverlap="1" wp14:anchorId="0868C9F4" wp14:editId="37184A04">
          <wp:simplePos x="0" y="0"/>
          <wp:positionH relativeFrom="column">
            <wp:posOffset>-461010</wp:posOffset>
          </wp:positionH>
          <wp:positionV relativeFrom="paragraph">
            <wp:posOffset>-384810</wp:posOffset>
          </wp:positionV>
          <wp:extent cx="1280160" cy="315595"/>
          <wp:effectExtent l="0" t="0" r="0" b="0"/>
          <wp:wrapNone/>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4"/>
                  <pic:cNvPicPr>
                    <a:picLocks noChangeAspect="1" noChangeArrowheads="1"/>
                  </pic:cNvPicPr>
                </pic:nvPicPr>
                <pic:blipFill>
                  <a:blip r:embed="rId2"/>
                  <a:stretch>
                    <a:fillRect/>
                  </a:stretch>
                </pic:blipFill>
                <pic:spPr bwMode="auto">
                  <a:xfrm>
                    <a:off x="0" y="0"/>
                    <a:ext cx="1280160" cy="315595"/>
                  </a:xfrm>
                  <a:prstGeom prst="rect">
                    <a:avLst/>
                  </a:prstGeom>
                </pic:spPr>
              </pic:pic>
            </a:graphicData>
          </a:graphic>
        </wp:anchor>
      </w:drawing>
    </w:r>
    <w:r>
      <w:rPr>
        <w:noProof/>
      </w:rPr>
      <mc:AlternateContent>
        <mc:Choice Requires="wps">
          <w:drawing>
            <wp:anchor distT="3810" distB="3810" distL="0" distR="0" simplePos="0" relativeHeight="85" behindDoc="1" locked="0" layoutInCell="0" allowOverlap="1" wp14:anchorId="39DC5405" wp14:editId="5490121E">
              <wp:simplePos x="0" y="0"/>
              <wp:positionH relativeFrom="column">
                <wp:posOffset>-445770</wp:posOffset>
              </wp:positionH>
              <wp:positionV relativeFrom="paragraph">
                <wp:posOffset>-552450</wp:posOffset>
              </wp:positionV>
              <wp:extent cx="6941820" cy="0"/>
              <wp:effectExtent l="0" t="3810" r="0" b="3810"/>
              <wp:wrapNone/>
              <wp:docPr id="4" name="Connettore diritto 276"/>
              <wp:cNvGraphicFramePr/>
              <a:graphic xmlns:a="http://schemas.openxmlformats.org/drawingml/2006/main">
                <a:graphicData uri="http://schemas.microsoft.com/office/word/2010/wordprocessingShape">
                  <wps:wsp>
                    <wps:cNvCnPr/>
                    <wps:spPr>
                      <a:xfrm>
                        <a:off x="0" y="0"/>
                        <a:ext cx="6941880" cy="0"/>
                      </a:xfrm>
                      <a:prstGeom prst="line">
                        <a:avLst/>
                      </a:prstGeom>
                      <a:ln>
                        <a:solidFill>
                          <a:srgbClr val="2E75B6"/>
                        </a:solidFill>
                      </a:ln>
                    </wps:spPr>
                    <wps:style>
                      <a:lnRef idx="1">
                        <a:schemeClr val="accent2"/>
                      </a:lnRef>
                      <a:fillRef idx="0">
                        <a:schemeClr val="accent2"/>
                      </a:fillRef>
                      <a:effectRef idx="0">
                        <a:schemeClr val="accent2"/>
                      </a:effectRef>
                      <a:fontRef idx="minor"/>
                    </wps:style>
                    <wps:bodyPr/>
                  </wps:wsp>
                </a:graphicData>
              </a:graphic>
            </wp:anchor>
          </w:drawing>
        </mc:Choice>
        <mc:Fallback>
          <w:pict>
            <v:line id="shape_0" from="-35.1pt,-43.5pt" to="511.45pt,-43.5pt" ID="Connettore diritto 276" stroked="t" o:allowincell="f" style="position:absolute" wp14:anchorId="323C85F3">
              <v:stroke color="#2e75b6" weight="6480" joinstyle="miter" endcap="flat"/>
              <v:fill o:detectmouseclick="t" on="false"/>
              <w10:wrap type="none"/>
            </v:line>
          </w:pict>
        </mc:Fallback>
      </mc:AlternateContent>
    </w:r>
    <w:r>
      <w:rPr>
        <w:rFonts w:ascii="Source Sans Pro" w:hAnsi="Source Sans Pro"/>
        <w:b/>
        <w:color w:val="1F3864" w:themeColor="accent1" w:themeShade="80"/>
        <w:sz w:val="18"/>
        <w:szCs w:val="18"/>
      </w:rPr>
      <w:t>Consiglio Nazionale delle Ricerche - Istituto Nazionale di Ottica</w:t>
    </w:r>
  </w:p>
  <w:p w14:paraId="4E6C45C1" w14:textId="77777777" w:rsidR="00AE55CA" w:rsidRDefault="003B1F75">
    <w:pPr>
      <w:pStyle w:val="Pidipagina"/>
      <w:tabs>
        <w:tab w:val="left" w:pos="1524"/>
      </w:tabs>
      <w:ind w:left="-709"/>
      <w:rPr>
        <w:rFonts w:ascii="Source Sans Pro" w:hAnsi="Source Sans Pro"/>
        <w:color w:val="1F3864" w:themeColor="accent1" w:themeShade="80"/>
        <w:sz w:val="18"/>
        <w:szCs w:val="18"/>
      </w:rPr>
    </w:pPr>
    <w:r>
      <w:rPr>
        <w:rFonts w:ascii="Source Sans Pro" w:hAnsi="Source Sans Pro"/>
        <w:color w:val="1F3864" w:themeColor="accent1" w:themeShade="80"/>
        <w:sz w:val="18"/>
        <w:szCs w:val="18"/>
      </w:rPr>
      <w:t xml:space="preserve">Largo Enrico Fermi, 6 – IT50125 Arcetri FIRENZE </w:t>
    </w:r>
  </w:p>
  <w:p w14:paraId="2ABCDB60" w14:textId="77777777" w:rsidR="00AE55CA" w:rsidRDefault="003B1F75">
    <w:pPr>
      <w:pStyle w:val="Pidipagina"/>
      <w:tabs>
        <w:tab w:val="left" w:pos="1524"/>
      </w:tabs>
      <w:ind w:left="-709"/>
      <w:rPr>
        <w:rFonts w:ascii="Source Sans Pro" w:hAnsi="Source Sans Pro"/>
        <w:color w:val="1F3864" w:themeColor="accent1" w:themeShade="80"/>
        <w:sz w:val="18"/>
        <w:szCs w:val="18"/>
      </w:rPr>
    </w:pPr>
    <w:r>
      <w:rPr>
        <w:rFonts w:ascii="Source Sans Pro" w:hAnsi="Source Sans Pro"/>
        <w:color w:val="1F3864" w:themeColor="accent1" w:themeShade="80"/>
        <w:sz w:val="18"/>
        <w:szCs w:val="18"/>
      </w:rPr>
      <w:t>Tel. +39 05523081</w:t>
    </w:r>
  </w:p>
  <w:p w14:paraId="2A38B8AF" w14:textId="77777777" w:rsidR="00AE55CA" w:rsidRDefault="003B1F75">
    <w:pPr>
      <w:ind w:left="-709" w:right="-709"/>
      <w:rPr>
        <w:color w:val="1F3864" w:themeColor="accent1" w:themeShade="80"/>
        <w:sz w:val="22"/>
        <w:szCs w:val="22"/>
      </w:rPr>
    </w:pPr>
    <w:r>
      <w:rPr>
        <w:rFonts w:ascii="Source Sans Pro" w:hAnsi="Source Sans Pro"/>
        <w:color w:val="1F3864" w:themeColor="accent1" w:themeShade="80"/>
        <w:sz w:val="18"/>
        <w:szCs w:val="18"/>
      </w:rPr>
      <w:t xml:space="preserve">Partita IVA IT 02118311006 – C.F. 80054330586; PEC: </w:t>
    </w:r>
    <w:r>
      <w:rPr>
        <w:rFonts w:ascii="Source Sans Pro" w:hAnsi="Source Sans Pro"/>
        <w:color w:val="023160" w:themeColor="hyperlink" w:themeShade="80"/>
        <w:sz w:val="18"/>
        <w:szCs w:val="18"/>
        <w:u w:val="single"/>
      </w:rPr>
      <w:t>protocollo.ino@pec.cnr.it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75C0" w14:textId="77777777" w:rsidR="00475D22" w:rsidRDefault="00475D22">
      <w:pPr>
        <w:rPr>
          <w:sz w:val="12"/>
        </w:rPr>
      </w:pPr>
      <w:r>
        <w:separator/>
      </w:r>
    </w:p>
  </w:footnote>
  <w:footnote w:type="continuationSeparator" w:id="0">
    <w:p w14:paraId="48BF3E18" w14:textId="77777777" w:rsidR="00475D22" w:rsidRDefault="00475D22">
      <w:pPr>
        <w:rPr>
          <w:sz w:val="12"/>
        </w:rPr>
      </w:pPr>
      <w:r>
        <w:continuationSeparator/>
      </w:r>
    </w:p>
  </w:footnote>
  <w:footnote w:id="1">
    <w:p w14:paraId="69B8D0A7" w14:textId="77777777" w:rsidR="00AE55CA" w:rsidRDefault="003B1F75">
      <w:pPr>
        <w:pStyle w:val="Testonotaapidipagina"/>
        <w:rPr>
          <w:rFonts w:cstheme="minorHAnsi"/>
          <w:sz w:val="16"/>
          <w:szCs w:val="16"/>
        </w:rPr>
      </w:pPr>
      <w:r>
        <w:rPr>
          <w:rStyle w:val="Caratterinotaapidipagina"/>
        </w:rPr>
        <w:footnoteRef/>
      </w:r>
      <w:r>
        <w:rPr>
          <w:rFonts w:cstheme="minorHAnsi"/>
          <w:sz w:val="16"/>
          <w:szCs w:val="16"/>
        </w:rPr>
        <w:t xml:space="preserve"> I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6C31" w14:textId="77777777" w:rsidR="00AE55CA" w:rsidRDefault="003B1F75">
    <w:pPr>
      <w:pStyle w:val="Intestazione"/>
      <w:tabs>
        <w:tab w:val="clear" w:pos="9638"/>
      </w:tabs>
      <w:ind w:left="-1134" w:right="-1134"/>
      <w:rPr>
        <w:lang w:eastAsia="it-IT"/>
      </w:rPr>
    </w:pPr>
    <w:r>
      <w:rPr>
        <w:noProof/>
        <w:lang w:eastAsia="it-IT"/>
      </w:rPr>
      <w:drawing>
        <wp:anchor distT="0" distB="0" distL="0" distR="0" simplePos="0" relativeHeight="64" behindDoc="1" locked="0" layoutInCell="0" allowOverlap="1" wp14:anchorId="3E8D9AAC" wp14:editId="59739060">
          <wp:simplePos x="0" y="0"/>
          <wp:positionH relativeFrom="column">
            <wp:posOffset>-720090</wp:posOffset>
          </wp:positionH>
          <wp:positionV relativeFrom="paragraph">
            <wp:posOffset>-6985</wp:posOffset>
          </wp:positionV>
          <wp:extent cx="7567930" cy="1091565"/>
          <wp:effectExtent l="0" t="0" r="0" b="0"/>
          <wp:wrapNone/>
          <wp:docPr id="1" name="Immagine 3"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000 4 loghi definitivo"/>
                  <pic:cNvPicPr>
                    <a:picLocks noChangeAspect="1" noChangeArrowheads="1"/>
                  </pic:cNvPicPr>
                </pic:nvPicPr>
                <pic:blipFill>
                  <a:blip r:embed="rId1"/>
                  <a:stretch>
                    <a:fillRect/>
                  </a:stretch>
                </pic:blipFill>
                <pic:spPr bwMode="auto">
                  <a:xfrm>
                    <a:off x="0" y="0"/>
                    <a:ext cx="7567930" cy="1091565"/>
                  </a:xfrm>
                  <a:prstGeom prst="rect">
                    <a:avLst/>
                  </a:prstGeom>
                </pic:spPr>
              </pic:pic>
            </a:graphicData>
          </a:graphic>
        </wp:anchor>
      </w:drawing>
    </w:r>
  </w:p>
  <w:p w14:paraId="45674C5F" w14:textId="77777777" w:rsidR="00AE55CA" w:rsidRDefault="00AE55CA">
    <w:pPr>
      <w:pStyle w:val="Intestazione"/>
      <w:tabs>
        <w:tab w:val="clear" w:pos="9638"/>
      </w:tabs>
      <w:ind w:left="-1134" w:right="-1134"/>
      <w:rPr>
        <w:lang w:eastAsia="it-IT"/>
      </w:rPr>
    </w:pPr>
  </w:p>
  <w:p w14:paraId="26E9B7AC" w14:textId="77777777" w:rsidR="00AE55CA" w:rsidRDefault="00AE55CA">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DB8"/>
    <w:multiLevelType w:val="hybridMultilevel"/>
    <w:tmpl w:val="75FCCD74"/>
    <w:lvl w:ilvl="0" w:tplc="504A7962">
      <w:start w:val="1"/>
      <w:numFmt w:val="upperLetter"/>
      <w:lvlText w:val="%1)"/>
      <w:lvlJc w:val="left"/>
      <w:pPr>
        <w:ind w:left="720" w:hanging="360"/>
      </w:pPr>
      <w:rPr>
        <w:rFonts w:ascii="Arial" w:eastAsiaTheme="minorEastAsia" w:hAnsi="Arial" w:cs="Arial"/>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5516A4D"/>
    <w:multiLevelType w:val="multilevel"/>
    <w:tmpl w:val="D74055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AC61E5"/>
    <w:multiLevelType w:val="multilevel"/>
    <w:tmpl w:val="8EDC2A7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Arial" w:eastAsiaTheme="minorHAnsi" w:hAnsi="Arial" w:cs="Arial"/>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1DE057BF"/>
    <w:multiLevelType w:val="multilevel"/>
    <w:tmpl w:val="0296A79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203C5095"/>
    <w:multiLevelType w:val="hybridMultilevel"/>
    <w:tmpl w:val="787C9A38"/>
    <w:lvl w:ilvl="0" w:tplc="04100015">
      <w:start w:val="1"/>
      <w:numFmt w:val="upperLetter"/>
      <w:lvlText w:val="%1."/>
      <w:lvlJc w:val="left"/>
      <w:pPr>
        <w:ind w:left="720" w:hanging="360"/>
      </w:pPr>
    </w:lvl>
    <w:lvl w:ilvl="1" w:tplc="BA0E2B80">
      <w:start w:val="1"/>
      <w:numFmt w:val="lowerLetter"/>
      <w:lvlText w:val="%2)"/>
      <w:lvlJc w:val="left"/>
      <w:pPr>
        <w:ind w:left="1440" w:hanging="360"/>
      </w:pPr>
      <w:rPr>
        <w:rFonts w:hint="default"/>
      </w:rPr>
    </w:lvl>
    <w:lvl w:ilvl="2" w:tplc="04100015">
      <w:start w:val="1"/>
      <w:numFmt w:val="upperLetter"/>
      <w:lvlText w:val="%3."/>
      <w:lvlJc w:val="left"/>
      <w:pPr>
        <w:ind w:left="180" w:hanging="180"/>
      </w:pPr>
    </w:lvl>
    <w:lvl w:ilvl="3" w:tplc="1A8855DE">
      <w:start w:val="1"/>
      <w:numFmt w:val="upperLetter"/>
      <w:lvlText w:val="%4)"/>
      <w:lvlJc w:val="left"/>
      <w:pPr>
        <w:ind w:left="2880" w:hanging="360"/>
      </w:pPr>
      <w:rPr>
        <w:rFonts w:hint="default"/>
      </w:rPr>
    </w:lvl>
    <w:lvl w:ilvl="4" w:tplc="FC7EF0F8">
      <w:start w:val="12"/>
      <w:numFmt w:val="decimal"/>
      <w:lvlText w:val="%5."/>
      <w:lvlJc w:val="left"/>
      <w:pPr>
        <w:ind w:left="3600" w:hanging="360"/>
      </w:pPr>
      <w:rPr>
        <w:rFonts w:hint="default"/>
      </w:rPr>
    </w:lvl>
    <w:lvl w:ilvl="5" w:tplc="F5AA16E2">
      <w:start w:val="16"/>
      <w:numFmt w:val="decimal"/>
      <w:lvlText w:val="%6"/>
      <w:lvlJc w:val="left"/>
      <w:pPr>
        <w:ind w:left="4500" w:hanging="360"/>
      </w:pPr>
      <w:rPr>
        <w:rFonts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6B17CC"/>
    <w:multiLevelType w:val="multilevel"/>
    <w:tmpl w:val="5BE61854"/>
    <w:lvl w:ilvl="0">
      <w:start w:val="1"/>
      <w:numFmt w:val="bullet"/>
      <w:lvlText w:val=""/>
      <w:lvlJc w:val="left"/>
      <w:pPr>
        <w:tabs>
          <w:tab w:val="num" w:pos="0"/>
        </w:tabs>
        <w:ind w:left="1074" w:hanging="360"/>
      </w:pPr>
      <w:rPr>
        <w:rFonts w:ascii="Symbol" w:hAnsi="Symbol" w:cs="Symbol" w:hint="default"/>
      </w:rPr>
    </w:lvl>
    <w:lvl w:ilvl="1">
      <w:start w:val="1"/>
      <w:numFmt w:val="bullet"/>
      <w:lvlText w:val="o"/>
      <w:lvlJc w:val="left"/>
      <w:pPr>
        <w:tabs>
          <w:tab w:val="num" w:pos="0"/>
        </w:tabs>
        <w:ind w:left="1794" w:hanging="360"/>
      </w:pPr>
      <w:rPr>
        <w:rFonts w:ascii="Courier New" w:hAnsi="Courier New" w:cs="Courier New" w:hint="default"/>
      </w:rPr>
    </w:lvl>
    <w:lvl w:ilvl="2">
      <w:start w:val="1"/>
      <w:numFmt w:val="bullet"/>
      <w:lvlText w:val=""/>
      <w:lvlJc w:val="left"/>
      <w:pPr>
        <w:tabs>
          <w:tab w:val="num" w:pos="0"/>
        </w:tabs>
        <w:ind w:left="2514" w:hanging="360"/>
      </w:pPr>
      <w:rPr>
        <w:rFonts w:ascii="Wingdings" w:hAnsi="Wingdings" w:cs="Wingdings" w:hint="default"/>
      </w:rPr>
    </w:lvl>
    <w:lvl w:ilvl="3">
      <w:start w:val="1"/>
      <w:numFmt w:val="bullet"/>
      <w:lvlText w:val=""/>
      <w:lvlJc w:val="left"/>
      <w:pPr>
        <w:tabs>
          <w:tab w:val="num" w:pos="0"/>
        </w:tabs>
        <w:ind w:left="3234" w:hanging="360"/>
      </w:pPr>
      <w:rPr>
        <w:rFonts w:ascii="Symbol" w:hAnsi="Symbol" w:cs="Symbol" w:hint="default"/>
      </w:rPr>
    </w:lvl>
    <w:lvl w:ilvl="4">
      <w:start w:val="1"/>
      <w:numFmt w:val="bullet"/>
      <w:lvlText w:val="o"/>
      <w:lvlJc w:val="left"/>
      <w:pPr>
        <w:tabs>
          <w:tab w:val="num" w:pos="0"/>
        </w:tabs>
        <w:ind w:left="3954" w:hanging="360"/>
      </w:pPr>
      <w:rPr>
        <w:rFonts w:ascii="Courier New" w:hAnsi="Courier New" w:cs="Courier New" w:hint="default"/>
      </w:rPr>
    </w:lvl>
    <w:lvl w:ilvl="5">
      <w:start w:val="1"/>
      <w:numFmt w:val="bullet"/>
      <w:lvlText w:val=""/>
      <w:lvlJc w:val="left"/>
      <w:pPr>
        <w:tabs>
          <w:tab w:val="num" w:pos="0"/>
        </w:tabs>
        <w:ind w:left="4674" w:hanging="360"/>
      </w:pPr>
      <w:rPr>
        <w:rFonts w:ascii="Wingdings" w:hAnsi="Wingdings" w:cs="Wingdings" w:hint="default"/>
      </w:rPr>
    </w:lvl>
    <w:lvl w:ilvl="6">
      <w:start w:val="1"/>
      <w:numFmt w:val="bullet"/>
      <w:lvlText w:val=""/>
      <w:lvlJc w:val="left"/>
      <w:pPr>
        <w:tabs>
          <w:tab w:val="num" w:pos="0"/>
        </w:tabs>
        <w:ind w:left="5394" w:hanging="360"/>
      </w:pPr>
      <w:rPr>
        <w:rFonts w:ascii="Symbol" w:hAnsi="Symbol" w:cs="Symbol" w:hint="default"/>
      </w:rPr>
    </w:lvl>
    <w:lvl w:ilvl="7">
      <w:start w:val="1"/>
      <w:numFmt w:val="bullet"/>
      <w:lvlText w:val="o"/>
      <w:lvlJc w:val="left"/>
      <w:pPr>
        <w:tabs>
          <w:tab w:val="num" w:pos="0"/>
        </w:tabs>
        <w:ind w:left="6114" w:hanging="360"/>
      </w:pPr>
      <w:rPr>
        <w:rFonts w:ascii="Courier New" w:hAnsi="Courier New" w:cs="Courier New" w:hint="default"/>
      </w:rPr>
    </w:lvl>
    <w:lvl w:ilvl="8">
      <w:start w:val="1"/>
      <w:numFmt w:val="bullet"/>
      <w:lvlText w:val=""/>
      <w:lvlJc w:val="left"/>
      <w:pPr>
        <w:tabs>
          <w:tab w:val="num" w:pos="0"/>
        </w:tabs>
        <w:ind w:left="6834" w:hanging="360"/>
      </w:pPr>
      <w:rPr>
        <w:rFonts w:ascii="Wingdings" w:hAnsi="Wingdings" w:cs="Wingdings" w:hint="default"/>
      </w:rPr>
    </w:lvl>
  </w:abstractNum>
  <w:abstractNum w:abstractNumId="6" w15:restartNumberingAfterBreak="0">
    <w:nsid w:val="35762AFC"/>
    <w:multiLevelType w:val="multilevel"/>
    <w:tmpl w:val="7E7CC4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91C356C"/>
    <w:multiLevelType w:val="multilevel"/>
    <w:tmpl w:val="6C206944"/>
    <w:lvl w:ilvl="0">
      <w:start w:val="1"/>
      <w:numFmt w:val="lowerLetter"/>
      <w:lvlText w:val="%1)"/>
      <w:lvlJc w:val="left"/>
      <w:pPr>
        <w:tabs>
          <w:tab w:val="num" w:pos="0"/>
        </w:tabs>
        <w:ind w:left="1194" w:hanging="360"/>
      </w:pPr>
    </w:lvl>
    <w:lvl w:ilvl="1">
      <w:start w:val="1"/>
      <w:numFmt w:val="decimal"/>
      <w:lvlText w:val="%2)"/>
      <w:lvlJc w:val="left"/>
      <w:pPr>
        <w:tabs>
          <w:tab w:val="num" w:pos="0"/>
        </w:tabs>
        <w:ind w:left="2139" w:hanging="585"/>
      </w:pPr>
    </w:lvl>
    <w:lvl w:ilvl="2">
      <w:start w:val="1"/>
      <w:numFmt w:val="bullet"/>
      <w:lvlText w:val="•"/>
      <w:lvlJc w:val="left"/>
      <w:pPr>
        <w:tabs>
          <w:tab w:val="num" w:pos="0"/>
        </w:tabs>
        <w:ind w:left="2814" w:hanging="360"/>
      </w:pPr>
      <w:rPr>
        <w:rFonts w:ascii="Calibri" w:eastAsiaTheme="minorEastAsia" w:hAnsi="Calibri" w:cs="Calibri" w:hint="default"/>
      </w:rPr>
    </w:lvl>
    <w:lvl w:ilvl="3">
      <w:start w:val="1"/>
      <w:numFmt w:val="decimal"/>
      <w:lvlText w:val="%4."/>
      <w:lvlJc w:val="left"/>
      <w:pPr>
        <w:tabs>
          <w:tab w:val="num" w:pos="0"/>
        </w:tabs>
        <w:ind w:left="3354" w:hanging="360"/>
      </w:pPr>
    </w:lvl>
    <w:lvl w:ilvl="4">
      <w:start w:val="1"/>
      <w:numFmt w:val="lowerLetter"/>
      <w:lvlText w:val="%5."/>
      <w:lvlJc w:val="left"/>
      <w:pPr>
        <w:tabs>
          <w:tab w:val="num" w:pos="0"/>
        </w:tabs>
        <w:ind w:left="4074" w:hanging="360"/>
      </w:pPr>
    </w:lvl>
    <w:lvl w:ilvl="5">
      <w:start w:val="1"/>
      <w:numFmt w:val="lowerRoman"/>
      <w:lvlText w:val="%6."/>
      <w:lvlJc w:val="right"/>
      <w:pPr>
        <w:tabs>
          <w:tab w:val="num" w:pos="0"/>
        </w:tabs>
        <w:ind w:left="4794" w:hanging="180"/>
      </w:pPr>
    </w:lvl>
    <w:lvl w:ilvl="6">
      <w:start w:val="1"/>
      <w:numFmt w:val="decimal"/>
      <w:lvlText w:val="%7."/>
      <w:lvlJc w:val="left"/>
      <w:pPr>
        <w:tabs>
          <w:tab w:val="num" w:pos="0"/>
        </w:tabs>
        <w:ind w:left="5514" w:hanging="360"/>
      </w:pPr>
    </w:lvl>
    <w:lvl w:ilvl="7">
      <w:start w:val="1"/>
      <w:numFmt w:val="lowerLetter"/>
      <w:lvlText w:val="%8."/>
      <w:lvlJc w:val="left"/>
      <w:pPr>
        <w:tabs>
          <w:tab w:val="num" w:pos="0"/>
        </w:tabs>
        <w:ind w:left="6234" w:hanging="360"/>
      </w:pPr>
    </w:lvl>
    <w:lvl w:ilvl="8">
      <w:start w:val="1"/>
      <w:numFmt w:val="lowerRoman"/>
      <w:lvlText w:val="%9."/>
      <w:lvlJc w:val="right"/>
      <w:pPr>
        <w:tabs>
          <w:tab w:val="num" w:pos="0"/>
        </w:tabs>
        <w:ind w:left="6954" w:hanging="180"/>
      </w:pPr>
    </w:lvl>
  </w:abstractNum>
  <w:abstractNum w:abstractNumId="8" w15:restartNumberingAfterBreak="0">
    <w:nsid w:val="3A9179F1"/>
    <w:multiLevelType w:val="multilevel"/>
    <w:tmpl w:val="D870FB74"/>
    <w:lvl w:ilvl="0">
      <w:start w:val="1"/>
      <w:numFmt w:val="decimal"/>
      <w:lvlText w:val="%1."/>
      <w:lvlJc w:val="left"/>
      <w:pPr>
        <w:tabs>
          <w:tab w:val="num" w:pos="0"/>
        </w:tabs>
        <w:ind w:left="340" w:hanging="340"/>
      </w:pPr>
      <w:rPr>
        <w:b/>
        <w:color w:val="auto"/>
      </w:rPr>
    </w:lvl>
    <w:lvl w:ilvl="1">
      <w:start w:val="1"/>
      <w:numFmt w:val="none"/>
      <w:suff w:val="nothing"/>
      <w:lvlText w:val=""/>
      <w:lvlJc w:val="left"/>
      <w:pPr>
        <w:tabs>
          <w:tab w:val="num" w:pos="0"/>
        </w:tabs>
        <w:ind w:left="340" w:hanging="340"/>
      </w:pPr>
      <w:rPr>
        <w:b w:val="0"/>
      </w:rPr>
    </w:lvl>
    <w:lvl w:ilvl="2">
      <w:start w:val="1"/>
      <w:numFmt w:val="none"/>
      <w:suff w:val="nothing"/>
      <w:lvlText w:val=""/>
      <w:lvlJc w:val="left"/>
      <w:pPr>
        <w:tabs>
          <w:tab w:val="num" w:pos="0"/>
        </w:tabs>
        <w:ind w:left="2138" w:hanging="720"/>
      </w:pPr>
      <w:rPr>
        <w:b w:val="0"/>
      </w:rPr>
    </w:lvl>
    <w:lvl w:ilvl="3">
      <w:start w:val="1"/>
      <w:numFmt w:val="decimal"/>
      <w:lvlText w:val="%1.%2.%3.%4"/>
      <w:lvlJc w:val="left"/>
      <w:pPr>
        <w:tabs>
          <w:tab w:val="num" w:pos="0"/>
        </w:tabs>
        <w:ind w:left="6107" w:hanging="720"/>
      </w:pPr>
      <w:rPr>
        <w:b w:val="0"/>
      </w:r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abstractNum w:abstractNumId="9" w15:restartNumberingAfterBreak="0">
    <w:nsid w:val="3E255E3F"/>
    <w:multiLevelType w:val="multilevel"/>
    <w:tmpl w:val="D88E414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180" w:hanging="180"/>
      </w:pPr>
    </w:lvl>
    <w:lvl w:ilvl="3">
      <w:start w:val="1"/>
      <w:numFmt w:val="upperLetter"/>
      <w:lvlText w:val="%4)"/>
      <w:lvlJc w:val="left"/>
      <w:pPr>
        <w:tabs>
          <w:tab w:val="num" w:pos="0"/>
        </w:tabs>
        <w:ind w:left="2880" w:hanging="360"/>
      </w:pPr>
    </w:lvl>
    <w:lvl w:ilvl="4">
      <w:start w:val="12"/>
      <w:numFmt w:val="decimal"/>
      <w:lvlText w:val="%5."/>
      <w:lvlJc w:val="left"/>
      <w:pPr>
        <w:tabs>
          <w:tab w:val="num" w:pos="0"/>
        </w:tabs>
        <w:ind w:left="3600" w:hanging="360"/>
      </w:pPr>
    </w:lvl>
    <w:lvl w:ilvl="5">
      <w:start w:val="16"/>
      <w:numFmt w:val="decimal"/>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4A94E8A"/>
    <w:multiLevelType w:val="multilevel"/>
    <w:tmpl w:val="9C1EA1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7E7387F"/>
    <w:multiLevelType w:val="multilevel"/>
    <w:tmpl w:val="4410A89C"/>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3BB009C"/>
    <w:multiLevelType w:val="multilevel"/>
    <w:tmpl w:val="067C4596"/>
    <w:lvl w:ilvl="0">
      <w:start w:val="1"/>
      <w:numFmt w:val="decimal"/>
      <w:pStyle w:val="Titolo1"/>
      <w:lvlText w:val="%1."/>
      <w:lvlJc w:val="left"/>
      <w:pPr>
        <w:tabs>
          <w:tab w:val="num" w:pos="0"/>
        </w:tabs>
        <w:ind w:left="360" w:hanging="360"/>
      </w:pPr>
      <w:rPr>
        <w:color w:val="auto"/>
      </w:rPr>
    </w:lvl>
    <w:lvl w:ilvl="1">
      <w:start w:val="1"/>
      <w:numFmt w:val="decimal"/>
      <w:lvlText w:val="%1.%2."/>
      <w:lvlJc w:val="left"/>
      <w:pPr>
        <w:tabs>
          <w:tab w:val="num" w:pos="0"/>
        </w:tabs>
        <w:ind w:left="858"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58D95164"/>
    <w:multiLevelType w:val="multilevel"/>
    <w:tmpl w:val="72269F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BAA558C"/>
    <w:multiLevelType w:val="multilevel"/>
    <w:tmpl w:val="4C48BA22"/>
    <w:lvl w:ilvl="0">
      <w:start w:val="1"/>
      <w:numFmt w:val="bullet"/>
      <w:lvlText w:val=""/>
      <w:lvlJc w:val="left"/>
      <w:pPr>
        <w:tabs>
          <w:tab w:val="num" w:pos="0"/>
        </w:tabs>
        <w:ind w:left="1194" w:hanging="360"/>
      </w:pPr>
      <w:rPr>
        <w:rFonts w:ascii="Symbol" w:hAnsi="Symbol" w:cs="Symbol" w:hint="default"/>
      </w:rPr>
    </w:lvl>
    <w:lvl w:ilvl="1">
      <w:start w:val="1"/>
      <w:numFmt w:val="bullet"/>
      <w:lvlText w:val="o"/>
      <w:lvlJc w:val="left"/>
      <w:pPr>
        <w:tabs>
          <w:tab w:val="num" w:pos="0"/>
        </w:tabs>
        <w:ind w:left="1914" w:hanging="360"/>
      </w:pPr>
      <w:rPr>
        <w:rFonts w:ascii="Courier New" w:hAnsi="Courier New" w:cs="Courier New" w:hint="default"/>
      </w:rPr>
    </w:lvl>
    <w:lvl w:ilvl="2">
      <w:start w:val="1"/>
      <w:numFmt w:val="bullet"/>
      <w:lvlText w:val=""/>
      <w:lvlJc w:val="left"/>
      <w:pPr>
        <w:tabs>
          <w:tab w:val="num" w:pos="0"/>
        </w:tabs>
        <w:ind w:left="2634" w:hanging="360"/>
      </w:pPr>
      <w:rPr>
        <w:rFonts w:ascii="Wingdings" w:hAnsi="Wingdings" w:cs="Wingdings" w:hint="default"/>
      </w:rPr>
    </w:lvl>
    <w:lvl w:ilvl="3">
      <w:start w:val="1"/>
      <w:numFmt w:val="bullet"/>
      <w:lvlText w:val=""/>
      <w:lvlJc w:val="left"/>
      <w:pPr>
        <w:tabs>
          <w:tab w:val="num" w:pos="0"/>
        </w:tabs>
        <w:ind w:left="3354" w:hanging="360"/>
      </w:pPr>
      <w:rPr>
        <w:rFonts w:ascii="Symbol" w:hAnsi="Symbol" w:cs="Symbol" w:hint="default"/>
      </w:rPr>
    </w:lvl>
    <w:lvl w:ilvl="4">
      <w:start w:val="1"/>
      <w:numFmt w:val="bullet"/>
      <w:lvlText w:val="o"/>
      <w:lvlJc w:val="left"/>
      <w:pPr>
        <w:tabs>
          <w:tab w:val="num" w:pos="0"/>
        </w:tabs>
        <w:ind w:left="4074" w:hanging="360"/>
      </w:pPr>
      <w:rPr>
        <w:rFonts w:ascii="Courier New" w:hAnsi="Courier New" w:cs="Courier New" w:hint="default"/>
      </w:rPr>
    </w:lvl>
    <w:lvl w:ilvl="5">
      <w:start w:val="1"/>
      <w:numFmt w:val="bullet"/>
      <w:lvlText w:val=""/>
      <w:lvlJc w:val="left"/>
      <w:pPr>
        <w:tabs>
          <w:tab w:val="num" w:pos="0"/>
        </w:tabs>
        <w:ind w:left="4794" w:hanging="360"/>
      </w:pPr>
      <w:rPr>
        <w:rFonts w:ascii="Wingdings" w:hAnsi="Wingdings" w:cs="Wingdings" w:hint="default"/>
      </w:rPr>
    </w:lvl>
    <w:lvl w:ilvl="6">
      <w:start w:val="1"/>
      <w:numFmt w:val="bullet"/>
      <w:lvlText w:val=""/>
      <w:lvlJc w:val="left"/>
      <w:pPr>
        <w:tabs>
          <w:tab w:val="num" w:pos="0"/>
        </w:tabs>
        <w:ind w:left="5514" w:hanging="360"/>
      </w:pPr>
      <w:rPr>
        <w:rFonts w:ascii="Symbol" w:hAnsi="Symbol" w:cs="Symbol" w:hint="default"/>
      </w:rPr>
    </w:lvl>
    <w:lvl w:ilvl="7">
      <w:start w:val="1"/>
      <w:numFmt w:val="bullet"/>
      <w:lvlText w:val="o"/>
      <w:lvlJc w:val="left"/>
      <w:pPr>
        <w:tabs>
          <w:tab w:val="num" w:pos="0"/>
        </w:tabs>
        <w:ind w:left="6234" w:hanging="360"/>
      </w:pPr>
      <w:rPr>
        <w:rFonts w:ascii="Courier New" w:hAnsi="Courier New" w:cs="Courier New" w:hint="default"/>
      </w:rPr>
    </w:lvl>
    <w:lvl w:ilvl="8">
      <w:start w:val="1"/>
      <w:numFmt w:val="bullet"/>
      <w:lvlText w:val=""/>
      <w:lvlJc w:val="left"/>
      <w:pPr>
        <w:tabs>
          <w:tab w:val="num" w:pos="0"/>
        </w:tabs>
        <w:ind w:left="6954" w:hanging="360"/>
      </w:pPr>
      <w:rPr>
        <w:rFonts w:ascii="Wingdings" w:hAnsi="Wingdings" w:cs="Wingdings" w:hint="default"/>
      </w:rPr>
    </w:lvl>
  </w:abstractNum>
  <w:abstractNum w:abstractNumId="15" w15:restartNumberingAfterBreak="0">
    <w:nsid w:val="5FA3323E"/>
    <w:multiLevelType w:val="multilevel"/>
    <w:tmpl w:val="542C9082"/>
    <w:lvl w:ilvl="0">
      <w:start w:val="1"/>
      <w:numFmt w:val="decimal"/>
      <w:lvlText w:val="%1."/>
      <w:lvlJc w:val="left"/>
      <w:pPr>
        <w:tabs>
          <w:tab w:val="num" w:pos="0"/>
        </w:tabs>
        <w:ind w:left="340" w:hanging="340"/>
      </w:pPr>
      <w:rPr>
        <w:b/>
        <w:color w:val="auto"/>
      </w:rPr>
    </w:lvl>
    <w:lvl w:ilvl="1">
      <w:start w:val="1"/>
      <w:numFmt w:val="none"/>
      <w:suff w:val="nothing"/>
      <w:lvlText w:val=""/>
      <w:lvlJc w:val="left"/>
      <w:pPr>
        <w:tabs>
          <w:tab w:val="num" w:pos="0"/>
        </w:tabs>
        <w:ind w:left="397" w:hanging="43"/>
      </w:pPr>
      <w:rPr>
        <w:b w:val="0"/>
      </w:rPr>
    </w:lvl>
    <w:lvl w:ilvl="2">
      <w:start w:val="1"/>
      <w:numFmt w:val="none"/>
      <w:suff w:val="nothing"/>
      <w:lvlText w:val=""/>
      <w:lvlJc w:val="left"/>
      <w:pPr>
        <w:tabs>
          <w:tab w:val="num" w:pos="0"/>
        </w:tabs>
        <w:ind w:left="2138" w:hanging="720"/>
      </w:pPr>
      <w:rPr>
        <w:b w:val="0"/>
      </w:rPr>
    </w:lvl>
    <w:lvl w:ilvl="3">
      <w:start w:val="1"/>
      <w:numFmt w:val="decimal"/>
      <w:lvlText w:val="%1.%2.%3.%4"/>
      <w:lvlJc w:val="left"/>
      <w:pPr>
        <w:tabs>
          <w:tab w:val="num" w:pos="0"/>
        </w:tabs>
        <w:ind w:left="6107" w:hanging="720"/>
      </w:pPr>
      <w:rPr>
        <w:b w:val="0"/>
      </w:r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num w:numId="1" w16cid:durableId="1840462514">
    <w:abstractNumId w:val="15"/>
  </w:num>
  <w:num w:numId="2" w16cid:durableId="2089425413">
    <w:abstractNumId w:val="7"/>
  </w:num>
  <w:num w:numId="3" w16cid:durableId="1037631676">
    <w:abstractNumId w:val="14"/>
  </w:num>
  <w:num w:numId="4" w16cid:durableId="1751151467">
    <w:abstractNumId w:val="8"/>
  </w:num>
  <w:num w:numId="5" w16cid:durableId="234169661">
    <w:abstractNumId w:val="12"/>
  </w:num>
  <w:num w:numId="6" w16cid:durableId="262617255">
    <w:abstractNumId w:val="2"/>
  </w:num>
  <w:num w:numId="7" w16cid:durableId="1073624833">
    <w:abstractNumId w:val="3"/>
  </w:num>
  <w:num w:numId="8" w16cid:durableId="501625161">
    <w:abstractNumId w:val="5"/>
  </w:num>
  <w:num w:numId="9" w16cid:durableId="109933374">
    <w:abstractNumId w:val="11"/>
  </w:num>
  <w:num w:numId="10" w16cid:durableId="1628464850">
    <w:abstractNumId w:val="9"/>
  </w:num>
  <w:num w:numId="11" w16cid:durableId="987630683">
    <w:abstractNumId w:val="1"/>
  </w:num>
  <w:num w:numId="12" w16cid:durableId="1815872827">
    <w:abstractNumId w:val="13"/>
  </w:num>
  <w:num w:numId="13" w16cid:durableId="392971710">
    <w:abstractNumId w:val="6"/>
  </w:num>
  <w:num w:numId="14" w16cid:durableId="1769890398">
    <w:abstractNumId w:val="10"/>
  </w:num>
  <w:num w:numId="15" w16cid:durableId="1617829253">
    <w:abstractNumId w:val="12"/>
  </w:num>
  <w:num w:numId="16" w16cid:durableId="807163387">
    <w:abstractNumId w:val="0"/>
  </w:num>
  <w:num w:numId="17" w16cid:durableId="1225720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CA"/>
    <w:rsid w:val="0000461A"/>
    <w:rsid w:val="0004355A"/>
    <w:rsid w:val="0013558E"/>
    <w:rsid w:val="00147745"/>
    <w:rsid w:val="003B1F75"/>
    <w:rsid w:val="00424BC2"/>
    <w:rsid w:val="00442936"/>
    <w:rsid w:val="00475D22"/>
    <w:rsid w:val="00483059"/>
    <w:rsid w:val="004A6632"/>
    <w:rsid w:val="00513DD2"/>
    <w:rsid w:val="005321D5"/>
    <w:rsid w:val="006323A7"/>
    <w:rsid w:val="006F5122"/>
    <w:rsid w:val="008F18CA"/>
    <w:rsid w:val="00A01071"/>
    <w:rsid w:val="00AE55CA"/>
    <w:rsid w:val="00B1530E"/>
    <w:rsid w:val="00B41637"/>
    <w:rsid w:val="00B62771"/>
    <w:rsid w:val="00D033C4"/>
    <w:rsid w:val="00F34A5A"/>
  </w:rsids>
  <m:mathPr>
    <m:mathFont m:val="Cambria Math"/>
    <m:brkBin m:val="before"/>
    <m:brkBinSub m:val="--"/>
    <m:smallFrac m:val="0"/>
    <m:dispDef/>
    <m:lMargin m:val="0"/>
    <m:rMargin m:val="0"/>
    <m:defJc m:val="centerGroup"/>
    <m:wrapIndent m:val="1440"/>
    <m:intLim m:val="subSup"/>
    <m:naryLim m:val="undOvr"/>
  </m:mathPr>
  <w:themeFontLang w:val="it-I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D5DE"/>
  <w15:docId w15:val="{1950495C-7793-4A47-844A-075C944CE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982128"/>
    <w:pPr>
      <w:keepNext/>
      <w:numPr>
        <w:numId w:val="5"/>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qFormat/>
    <w:rsid w:val="00982128"/>
    <w:pPr>
      <w:outlineLvl w:val="1"/>
    </w:pPr>
  </w:style>
  <w:style w:type="paragraph" w:styleId="Titolo3">
    <w:name w:val="heading 3"/>
    <w:basedOn w:val="Normale"/>
    <w:next w:val="Normale"/>
    <w:link w:val="Titolo3Carattere"/>
    <w:qFormat/>
    <w:rsid w:val="00982128"/>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0151A3"/>
  </w:style>
  <w:style w:type="character" w:customStyle="1" w:styleId="PidipaginaCarattere">
    <w:name w:val="Piè di pagina Carattere"/>
    <w:basedOn w:val="Carpredefinitoparagrafo"/>
    <w:link w:val="Pidipagina"/>
    <w:uiPriority w:val="99"/>
    <w:qFormat/>
    <w:rsid w:val="000151A3"/>
  </w:style>
  <w:style w:type="character" w:customStyle="1" w:styleId="Titolo1Carattere">
    <w:name w:val="Titolo 1 Carattere"/>
    <w:basedOn w:val="Carpredefinitoparagrafo"/>
    <w:link w:val="Titolo1"/>
    <w:qFormat/>
    <w:rsid w:val="00982128"/>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982128"/>
    <w:rPr>
      <w:rFonts w:ascii="Calibri" w:eastAsia="Times New Roman" w:hAnsi="Calibri" w:cs="Times New Roman"/>
      <w:b/>
      <w:bCs/>
      <w:sz w:val="20"/>
      <w:szCs w:val="20"/>
    </w:rPr>
  </w:style>
  <w:style w:type="character" w:customStyle="1" w:styleId="Titolo3Carattere">
    <w:name w:val="Titolo 3 Carattere"/>
    <w:basedOn w:val="Carpredefinitoparagrafo"/>
    <w:link w:val="Titolo3"/>
    <w:qFormat/>
    <w:rsid w:val="00982128"/>
    <w:rPr>
      <w:rFonts w:ascii="Calibri" w:eastAsiaTheme="minorEastAsia" w:hAnsi="Calibri" w:cs="Calibri"/>
      <w:b/>
      <w:sz w:val="20"/>
      <w:szCs w:val="20"/>
      <w:lang w:eastAsia="it-IT"/>
    </w:rPr>
  </w:style>
  <w:style w:type="character" w:customStyle="1" w:styleId="CollegamentoInternet">
    <w:name w:val="Collegamento Internet"/>
    <w:basedOn w:val="Carpredefinitoparagrafo"/>
    <w:uiPriority w:val="99"/>
    <w:unhideWhenUsed/>
    <w:rsid w:val="00982128"/>
    <w:rPr>
      <w:color w:val="0563C1" w:themeColor="hyperlink"/>
      <w:u w:val="single"/>
    </w:rPr>
  </w:style>
  <w:style w:type="character" w:customStyle="1" w:styleId="CorpotestoCarattere">
    <w:name w:val="Corpo testo Carattere"/>
    <w:basedOn w:val="Carpredefinitoparagrafo"/>
    <w:link w:val="Corpotesto"/>
    <w:qFormat/>
    <w:rsid w:val="00982128"/>
    <w:rPr>
      <w:rFonts w:ascii="Arial" w:eastAsia="Times New Roman" w:hAnsi="Arial" w:cs="Times New Roman"/>
      <w:lang w:eastAsia="ar-SA"/>
    </w:rPr>
  </w:style>
  <w:style w:type="character" w:customStyle="1" w:styleId="TestonotaapidipaginaCarattere">
    <w:name w:val="Testo nota a piè di pagina Carattere"/>
    <w:basedOn w:val="Carpredefinitoparagrafo"/>
    <w:link w:val="Testonotaapidipagina"/>
    <w:qFormat/>
    <w:rsid w:val="00982128"/>
    <w:rPr>
      <w:sz w:val="20"/>
      <w:szCs w:val="20"/>
    </w:rPr>
  </w:style>
  <w:style w:type="character" w:customStyle="1" w:styleId="Caratterinotaapidipagina">
    <w:name w:val="Caratteri nota a piè di pagina"/>
    <w:basedOn w:val="Carpredefinitoparagrafo"/>
    <w:uiPriority w:val="99"/>
    <w:semiHidden/>
    <w:unhideWhenUsed/>
    <w:qFormat/>
    <w:rsid w:val="00982128"/>
    <w:rPr>
      <w:vertAlign w:val="superscript"/>
    </w:rPr>
  </w:style>
  <w:style w:type="character" w:customStyle="1" w:styleId="Richiamoallanotaapidipagina">
    <w:name w:val="Richiamo alla nota a piè di pagina"/>
    <w:rPr>
      <w:vertAlign w:val="superscript"/>
    </w:rPr>
  </w:style>
  <w:style w:type="character" w:customStyle="1" w:styleId="TestofumettoCarattere">
    <w:name w:val="Testo fumetto Carattere"/>
    <w:basedOn w:val="Carpredefinitoparagrafo"/>
    <w:link w:val="Testofumetto"/>
    <w:uiPriority w:val="99"/>
    <w:semiHidden/>
    <w:qFormat/>
    <w:rsid w:val="00982128"/>
    <w:rPr>
      <w:rFonts w:ascii="Segoe UI" w:hAnsi="Segoe UI" w:cs="Segoe UI"/>
      <w:sz w:val="18"/>
      <w:szCs w:val="18"/>
    </w:rPr>
  </w:style>
  <w:style w:type="character" w:styleId="Rimandocommento">
    <w:name w:val="annotation reference"/>
    <w:basedOn w:val="Carpredefinitoparagrafo"/>
    <w:uiPriority w:val="99"/>
    <w:semiHidden/>
    <w:unhideWhenUsed/>
    <w:qFormat/>
    <w:rsid w:val="00982128"/>
    <w:rPr>
      <w:sz w:val="16"/>
      <w:szCs w:val="16"/>
    </w:rPr>
  </w:style>
  <w:style w:type="character" w:customStyle="1" w:styleId="TestocommentoCarattere">
    <w:name w:val="Testo commento Carattere"/>
    <w:basedOn w:val="Carpredefinitoparagrafo"/>
    <w:link w:val="Testocommento"/>
    <w:uiPriority w:val="99"/>
    <w:semiHidden/>
    <w:qFormat/>
    <w:rsid w:val="00982128"/>
    <w:rPr>
      <w:sz w:val="20"/>
      <w:szCs w:val="20"/>
    </w:rPr>
  </w:style>
  <w:style w:type="character" w:customStyle="1" w:styleId="SoggettocommentoCarattere">
    <w:name w:val="Soggetto commento Carattere"/>
    <w:basedOn w:val="TestocommentoCarattere"/>
    <w:link w:val="Soggettocommento"/>
    <w:uiPriority w:val="99"/>
    <w:semiHidden/>
    <w:qFormat/>
    <w:rsid w:val="00982128"/>
    <w:rPr>
      <w:b/>
      <w:bCs/>
      <w:sz w:val="20"/>
      <w:szCs w:val="20"/>
    </w:rPr>
  </w:style>
  <w:style w:type="character" w:customStyle="1" w:styleId="normaltextrun">
    <w:name w:val="normaltextrun"/>
    <w:basedOn w:val="Carpredefinitoparagrafo"/>
    <w:qFormat/>
    <w:rsid w:val="00982128"/>
  </w:style>
  <w:style w:type="character" w:customStyle="1" w:styleId="eop">
    <w:name w:val="eop"/>
    <w:basedOn w:val="Carpredefinitoparagrafo"/>
    <w:qFormat/>
    <w:rsid w:val="00982128"/>
  </w:style>
  <w:style w:type="character" w:customStyle="1" w:styleId="UnresolvedMention1">
    <w:name w:val="Unresolved Mention1"/>
    <w:basedOn w:val="Carpredefinitoparagrafo"/>
    <w:uiPriority w:val="99"/>
    <w:semiHidden/>
    <w:unhideWhenUsed/>
    <w:qFormat/>
    <w:rsid w:val="00F21B01"/>
    <w:rPr>
      <w:color w:val="605E5C"/>
      <w:shd w:val="clear" w:color="auto" w:fill="E1DFDD"/>
    </w:rPr>
  </w:style>
  <w:style w:type="character" w:customStyle="1" w:styleId="markedcontent">
    <w:name w:val="markedcontent"/>
    <w:basedOn w:val="Carpredefinitoparagrafo"/>
    <w:qFormat/>
    <w:rsid w:val="004621B1"/>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customStyle="1" w:styleId="Titolo10">
    <w:name w:val="Titolo1"/>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rsid w:val="00982128"/>
    <w:pPr>
      <w:spacing w:after="120"/>
    </w:pPr>
    <w:rPr>
      <w:rFonts w:ascii="Arial" w:eastAsia="Times New Roman" w:hAnsi="Arial" w:cs="Times New Roman"/>
      <w:lang w:eastAsia="ar-SA"/>
    </w:r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rPr>
  </w:style>
  <w:style w:type="paragraph" w:customStyle="1" w:styleId="Indice">
    <w:name w:val="Indice"/>
    <w:basedOn w:val="Normale"/>
    <w:qFormat/>
    <w:pPr>
      <w:suppressLineNumbers/>
    </w:pPr>
    <w:rPr>
      <w:rFonts w:cs="Lohit Devanagari"/>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151A3"/>
    <w:pPr>
      <w:tabs>
        <w:tab w:val="center" w:pos="4819"/>
        <w:tab w:val="right" w:pos="9638"/>
      </w:tabs>
    </w:pPr>
  </w:style>
  <w:style w:type="paragraph" w:styleId="Pidipagina">
    <w:name w:val="footer"/>
    <w:basedOn w:val="Normale"/>
    <w:link w:val="PidipaginaCarattere"/>
    <w:uiPriority w:val="99"/>
    <w:unhideWhenUsed/>
    <w:rsid w:val="000151A3"/>
    <w:pPr>
      <w:tabs>
        <w:tab w:val="center" w:pos="4819"/>
        <w:tab w:val="right" w:pos="9638"/>
      </w:tabs>
    </w:pPr>
  </w:style>
  <w:style w:type="paragraph" w:styleId="Paragrafoelenco">
    <w:name w:val="List Paragraph"/>
    <w:basedOn w:val="Normale"/>
    <w:uiPriority w:val="34"/>
    <w:qFormat/>
    <w:rsid w:val="000151A3"/>
    <w:pPr>
      <w:ind w:left="720"/>
      <w:contextualSpacing/>
    </w:pPr>
  </w:style>
  <w:style w:type="paragraph" w:styleId="Sommario1">
    <w:name w:val="toc 1"/>
    <w:basedOn w:val="Normale"/>
    <w:next w:val="Normale"/>
    <w:autoRedefine/>
    <w:uiPriority w:val="39"/>
    <w:unhideWhenUsed/>
    <w:rsid w:val="00982128"/>
    <w:pPr>
      <w:widowControl w:val="0"/>
      <w:tabs>
        <w:tab w:val="left" w:pos="480"/>
        <w:tab w:val="right" w:leader="dot" w:pos="10055"/>
      </w:tabs>
      <w:spacing w:after="60"/>
    </w:pPr>
    <w:rPr>
      <w:smallCaps/>
      <w:sz w:val="18"/>
      <w:szCs w:val="22"/>
      <w:lang w:val="en-US"/>
    </w:rPr>
  </w:style>
  <w:style w:type="paragraph" w:styleId="Testonotaapidipagina">
    <w:name w:val="footnote text"/>
    <w:basedOn w:val="Normale"/>
    <w:link w:val="TestonotaapidipaginaCarattere"/>
    <w:unhideWhenUsed/>
    <w:rsid w:val="00982128"/>
    <w:rPr>
      <w:sz w:val="20"/>
      <w:szCs w:val="20"/>
    </w:rPr>
  </w:style>
  <w:style w:type="paragraph" w:styleId="Testofumetto">
    <w:name w:val="Balloon Text"/>
    <w:basedOn w:val="Normale"/>
    <w:link w:val="TestofumettoCarattere"/>
    <w:uiPriority w:val="99"/>
    <w:semiHidden/>
    <w:unhideWhenUsed/>
    <w:qFormat/>
    <w:rsid w:val="00982128"/>
    <w:rPr>
      <w:rFonts w:ascii="Segoe UI" w:hAnsi="Segoe UI" w:cs="Segoe UI"/>
      <w:sz w:val="18"/>
      <w:szCs w:val="18"/>
    </w:rPr>
  </w:style>
  <w:style w:type="paragraph" w:styleId="Testocommento">
    <w:name w:val="annotation text"/>
    <w:basedOn w:val="Normale"/>
    <w:link w:val="TestocommentoCarattere"/>
    <w:uiPriority w:val="99"/>
    <w:semiHidden/>
    <w:unhideWhenUsed/>
    <w:qFormat/>
    <w:rsid w:val="00982128"/>
    <w:rPr>
      <w:sz w:val="20"/>
      <w:szCs w:val="20"/>
    </w:rPr>
  </w:style>
  <w:style w:type="paragraph" w:styleId="Soggettocommento">
    <w:name w:val="annotation subject"/>
    <w:basedOn w:val="Testocommento"/>
    <w:next w:val="Testocommento"/>
    <w:link w:val="SoggettocommentoCarattere"/>
    <w:uiPriority w:val="99"/>
    <w:semiHidden/>
    <w:unhideWhenUsed/>
    <w:qFormat/>
    <w:rsid w:val="00982128"/>
    <w:rPr>
      <w:b/>
      <w:bCs/>
    </w:rPr>
  </w:style>
  <w:style w:type="paragraph" w:customStyle="1" w:styleId="Default">
    <w:name w:val="Default"/>
    <w:qFormat/>
    <w:rsid w:val="00982128"/>
    <w:rPr>
      <w:rFonts w:ascii="Calibri" w:eastAsia="Calibri" w:hAnsi="Calibri" w:cs="Calibri"/>
      <w:color w:val="000000"/>
    </w:rPr>
  </w:style>
  <w:style w:type="paragraph" w:styleId="Sommario3">
    <w:name w:val="toc 3"/>
    <w:basedOn w:val="Normale"/>
    <w:next w:val="Normale"/>
    <w:autoRedefine/>
    <w:uiPriority w:val="39"/>
    <w:unhideWhenUsed/>
    <w:rsid w:val="00982128"/>
    <w:pPr>
      <w:spacing w:after="100"/>
      <w:ind w:left="480"/>
    </w:pPr>
  </w:style>
  <w:style w:type="paragraph" w:styleId="Sommario2">
    <w:name w:val="toc 2"/>
    <w:basedOn w:val="Normale"/>
    <w:next w:val="Normale"/>
    <w:autoRedefine/>
    <w:uiPriority w:val="39"/>
    <w:unhideWhenUsed/>
    <w:rsid w:val="00982128"/>
    <w:pPr>
      <w:spacing w:after="60"/>
      <w:ind w:left="238"/>
    </w:pPr>
    <w:rPr>
      <w:smallCaps/>
      <w:sz w:val="18"/>
    </w:rPr>
  </w:style>
  <w:style w:type="table" w:customStyle="1" w:styleId="TableNormal1">
    <w:name w:val="Table Normal1"/>
    <w:uiPriority w:val="2"/>
    <w:semiHidden/>
    <w:unhideWhenUsed/>
    <w:qFormat/>
    <w:rsid w:val="00982128"/>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982128"/>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982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62771"/>
    <w:rPr>
      <w:color w:val="0563C1" w:themeColor="hyperlink"/>
      <w:u w:val="single"/>
    </w:rPr>
  </w:style>
  <w:style w:type="character" w:styleId="Rimandonotaapidipagina">
    <w:name w:val="footnote reference"/>
    <w:basedOn w:val="Carpredefinitoparagrafo"/>
    <w:uiPriority w:val="99"/>
    <w:semiHidden/>
    <w:unhideWhenUsed/>
    <w:rsid w:val="00B62771"/>
    <w:rPr>
      <w:vertAlign w:val="superscript"/>
    </w:rPr>
  </w:style>
  <w:style w:type="character" w:styleId="Menzionenonrisolta">
    <w:name w:val="Unresolved Mention"/>
    <w:basedOn w:val="Carpredefinitoparagrafo"/>
    <w:uiPriority w:val="99"/>
    <w:semiHidden/>
    <w:unhideWhenUsed/>
    <w:rsid w:val="00424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quistinretepa.i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tocollo.ino@pec.cnr.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tocollo-ammcen@pec.cnr.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igi.consolino@ino.cnr.it" TargetMode="External"/><Relationship Id="rId5" Type="http://schemas.openxmlformats.org/officeDocument/2006/relationships/numbering" Target="numbering.xml"/><Relationship Id="rId15" Type="http://schemas.openxmlformats.org/officeDocument/2006/relationships/hyperlink" Target="mailto:rpd@cnr.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nticorruzione.it/-/portale-dei-pagamenti-di-anac"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DFF1BD1-5FAA-43D7-8CFC-A972F31D82E2}">
  <ds:schemaRefs>
    <ds:schemaRef ds:uri="http://schemas.openxmlformats.org/officeDocument/2006/bibliography"/>
  </ds:schemaRefs>
</ds:datastoreItem>
</file>

<file path=customXml/itemProps4.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11330</Words>
  <Characters>64585</Characters>
  <Application>Microsoft Office Word</Application>
  <DocSecurity>0</DocSecurity>
  <Lines>538</Lines>
  <Paragraphs>151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dc:description/>
  <cp:lastModifiedBy>ELISA GUBERTI</cp:lastModifiedBy>
  <cp:revision>19</cp:revision>
  <cp:lastPrinted>2023-07-25T16:06:00Z</cp:lastPrinted>
  <dcterms:created xsi:type="dcterms:W3CDTF">2023-10-13T08:37:00Z</dcterms:created>
  <dcterms:modified xsi:type="dcterms:W3CDTF">2023-10-31T10:04:00Z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