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8AA07" w14:textId="2C3FD125" w:rsidR="00AA0FA5" w:rsidRDefault="00B26B8C" w:rsidP="00AA0FA5">
      <w:pPr>
        <w:jc w:val="center"/>
        <w:rPr>
          <w:rFonts w:ascii="Calibri" w:hAnsi="Calibri" w:cs="Calibri"/>
          <w:b/>
          <w:bCs/>
        </w:rPr>
      </w:pPr>
      <w:r w:rsidRPr="00AD2F48">
        <w:rPr>
          <w:rFonts w:ascii="Calibri" w:hAnsi="Calibri" w:cs="Calibri"/>
          <w:b/>
          <w:bCs/>
        </w:rPr>
        <w:t>COMPROVA IMPOSTA DI BOLLO</w:t>
      </w:r>
    </w:p>
    <w:p w14:paraId="73E20035" w14:textId="77777777" w:rsidR="00AA0FA5" w:rsidRDefault="00AA0FA5" w:rsidP="00AA0FA5">
      <w:pPr>
        <w:jc w:val="center"/>
        <w:rPr>
          <w:rFonts w:asciiTheme="minorHAnsi" w:hAnsiTheme="minorHAnsi" w:cstheme="minorHAnsi"/>
          <w:caps/>
        </w:rPr>
      </w:pPr>
    </w:p>
    <w:p w14:paraId="1967A9BC" w14:textId="77777777" w:rsidR="00FD3DBB" w:rsidRPr="00FD3DBB" w:rsidRDefault="00FD3DBB" w:rsidP="00FD3DBB">
      <w:pPr>
        <w:jc w:val="both"/>
        <w:rPr>
          <w:rFonts w:asciiTheme="minorHAnsi" w:hAnsiTheme="minorHAnsi" w:cstheme="minorHAnsi"/>
          <w:caps/>
        </w:rPr>
      </w:pPr>
      <w:r w:rsidRPr="00FD3DBB">
        <w:rPr>
          <w:rFonts w:asciiTheme="minorHAnsi" w:hAnsiTheme="minorHAnsi" w:cstheme="minorHAnsi"/>
          <w:caps/>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067C7664" w14:textId="77777777" w:rsidR="00C56DA5" w:rsidRPr="00C56DA5" w:rsidRDefault="00C56DA5" w:rsidP="00C56DA5">
      <w:pPr>
        <w:jc w:val="both"/>
        <w:rPr>
          <w:rFonts w:asciiTheme="minorHAnsi" w:hAnsiTheme="minorHAnsi" w:cstheme="minorHAnsi"/>
          <w:caps/>
        </w:rPr>
      </w:pPr>
      <w:r w:rsidRPr="00C56DA5">
        <w:rPr>
          <w:rFonts w:asciiTheme="minorHAnsi" w:hAnsiTheme="minorHAnsi" w:cstheme="minorHAnsi"/>
          <w:caps/>
        </w:rPr>
        <w:t>LOTTO 1 CIG B0EF6AFFBD - LOTTO 2 CIG B0EF6AAB9E - LOTTO 3 CIG B0EF6ABC71</w:t>
      </w:r>
    </w:p>
    <w:p w14:paraId="0FC7A6C0" w14:textId="6FD68FF9" w:rsidR="00CF22A3" w:rsidRDefault="00C56DA5" w:rsidP="00C56DA5">
      <w:pPr>
        <w:jc w:val="both"/>
        <w:rPr>
          <w:rFonts w:asciiTheme="minorHAnsi" w:hAnsiTheme="minorHAnsi" w:cstheme="minorHAnsi"/>
          <w:caps/>
        </w:rPr>
      </w:pPr>
      <w:r w:rsidRPr="00C56DA5">
        <w:rPr>
          <w:rFonts w:asciiTheme="minorHAnsi" w:hAnsiTheme="minorHAnsi" w:cstheme="minorHAnsi"/>
          <w:caps/>
        </w:rPr>
        <w:t>LOTTO 4 CIG B0EF6AEEEA - LOTTO 5 CIG B0EF6A9ACB - LOTTO 6 CIG B0EF6ADE17 - LOTTO 7 CIG B0EF6ACD44</w:t>
      </w: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8801CA">
        <w:trPr>
          <w:jc w:val="center"/>
        </w:trPr>
        <w:tc>
          <w:tcPr>
            <w:tcW w:w="3341"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28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8801CA">
        <w:trPr>
          <w:jc w:val="center"/>
        </w:trPr>
        <w:tc>
          <w:tcPr>
            <w:tcW w:w="3341"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28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8801CA">
        <w:trPr>
          <w:jc w:val="center"/>
        </w:trPr>
        <w:tc>
          <w:tcPr>
            <w:tcW w:w="9628"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8801CA">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066"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8801CA">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066"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8801CA">
        <w:trPr>
          <w:jc w:val="center"/>
        </w:trPr>
        <w:tc>
          <w:tcPr>
            <w:tcW w:w="3341"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28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7A68854E" w14:textId="77777777" w:rsidR="008801CA" w:rsidRDefault="008801CA" w:rsidP="008801CA">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che il pagamento dell’imposta di bollo sulla domanda di partecipazione </w:t>
      </w:r>
      <w:r w:rsidRPr="00577809">
        <w:rPr>
          <w:rFonts w:ascii="Calibri" w:hAnsi="Calibri" w:cs="Calibri"/>
          <w:bCs/>
        </w:rPr>
        <w:t>è stato effettuato:</w:t>
      </w:r>
    </w:p>
    <w:p w14:paraId="16CEEE0F" w14:textId="77777777" w:rsidR="008801CA" w:rsidRPr="00577809" w:rsidRDefault="008801CA" w:rsidP="008801CA">
      <w:pPr>
        <w:ind w:left="10"/>
        <w:rPr>
          <w:rFonts w:ascii="Calibri" w:hAnsi="Calibri" w:cs="Calibri"/>
          <w:bCs/>
        </w:rPr>
      </w:pPr>
    </w:p>
    <w:p w14:paraId="1B8F7E82" w14:textId="77777777" w:rsidR="008801CA" w:rsidRDefault="008801CA" w:rsidP="008801CA">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6AF4F885" w14:textId="77777777" w:rsidR="008801CA" w:rsidRDefault="008801CA" w:rsidP="008801CA">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@e.bollo dell’Agenzia dell’Entrate;</w:t>
      </w:r>
    </w:p>
    <w:p w14:paraId="52EF0877" w14:textId="77777777" w:rsidR="008801CA" w:rsidRDefault="008801CA" w:rsidP="008801CA">
      <w:pPr>
        <w:widowControl/>
        <w:numPr>
          <w:ilvl w:val="0"/>
          <w:numId w:val="9"/>
        </w:numPr>
        <w:autoSpaceDE/>
        <w:autoSpaceDN/>
        <w:adjustRightInd/>
        <w:jc w:val="both"/>
        <w:rPr>
          <w:rFonts w:ascii="Calibri" w:hAnsi="Calibri" w:cs="Calibri"/>
          <w:lang w:bidi="it-IT"/>
        </w:rPr>
      </w:pPr>
      <w:r>
        <w:rPr>
          <w:rFonts w:ascii="Calibri" w:hAnsi="Calibri" w:cs="Calibri"/>
          <w:lang w:bidi="it-IT"/>
        </w:rPr>
        <w:t>(</w:t>
      </w:r>
      <w:r w:rsidRPr="00FD32CA">
        <w:rPr>
          <w:rFonts w:ascii="Calibri" w:hAnsi="Calibri" w:cs="Calibri"/>
          <w:u w:val="single"/>
          <w:lang w:bidi="it-IT"/>
        </w:rPr>
        <w:t>per gli operatori economici stranieri</w:t>
      </w:r>
      <w:r>
        <w:rPr>
          <w:rFonts w:ascii="Calibri" w:hAnsi="Calibri" w:cs="Calibri"/>
          <w:lang w:bidi="it-IT"/>
        </w:rPr>
        <w:t>) tramite pagamento con bonifico bancario;</w:t>
      </w:r>
    </w:p>
    <w:p w14:paraId="3724AAB4" w14:textId="77777777" w:rsidR="008801CA" w:rsidRPr="00395E43" w:rsidRDefault="008801CA" w:rsidP="008801CA">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Pr>
          <w:rFonts w:ascii="Calibri" w:hAnsi="Calibri" w:cs="Calibri"/>
        </w:rPr>
        <w:t xml:space="preserve">l/i </w:t>
      </w:r>
      <w:r w:rsidRPr="00395E43">
        <w:rPr>
          <w:rFonts w:ascii="Calibri" w:hAnsi="Calibri" w:cs="Calibri"/>
        </w:rPr>
        <w:t>contrassegn</w:t>
      </w:r>
      <w:r>
        <w:rPr>
          <w:rFonts w:ascii="Calibri" w:hAnsi="Calibri" w:cs="Calibri"/>
        </w:rPr>
        <w:t>o/</w:t>
      </w:r>
      <w:r w:rsidRPr="00395E43">
        <w:rPr>
          <w:rFonts w:ascii="Calibri" w:hAnsi="Calibri" w:cs="Calibri"/>
        </w:rPr>
        <w:t>i applicat</w:t>
      </w:r>
      <w:r>
        <w:rPr>
          <w:rFonts w:ascii="Calibri" w:hAnsi="Calibri" w:cs="Calibri"/>
        </w:rPr>
        <w:t>o/</w:t>
      </w:r>
      <w:r w:rsidRPr="00395E43">
        <w:rPr>
          <w:rFonts w:ascii="Calibri" w:hAnsi="Calibri" w:cs="Calibri"/>
        </w:rPr>
        <w:t>i hanno:</w:t>
      </w:r>
    </w:p>
    <w:p w14:paraId="14B57D55" w14:textId="77777777" w:rsidR="008801CA" w:rsidRPr="00395E43" w:rsidRDefault="008801CA" w:rsidP="008801CA">
      <w:pPr>
        <w:widowControl/>
        <w:numPr>
          <w:ilvl w:val="1"/>
          <w:numId w:val="10"/>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1195D35D" w14:textId="77777777" w:rsidR="008801CA" w:rsidRPr="00D975A4" w:rsidRDefault="008801CA" w:rsidP="008801CA">
      <w:pPr>
        <w:widowControl/>
        <w:numPr>
          <w:ilvl w:val="1"/>
          <w:numId w:val="10"/>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3BDA5414" w14:textId="77777777" w:rsidR="008801CA" w:rsidRPr="00D975A4" w:rsidRDefault="008801CA" w:rsidP="008801CA">
      <w:pPr>
        <w:widowControl/>
        <w:numPr>
          <w:ilvl w:val="1"/>
          <w:numId w:val="10"/>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41D84D12" w14:textId="77777777" w:rsidR="008801CA" w:rsidRPr="00395E43" w:rsidRDefault="008801CA" w:rsidP="008801CA">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8801CA" w:rsidRPr="00395E43" w14:paraId="679A19BC" w14:textId="77777777" w:rsidTr="003548A7">
        <w:trPr>
          <w:trHeight w:hRule="exact" w:val="2027"/>
        </w:trPr>
        <w:tc>
          <w:tcPr>
            <w:tcW w:w="9524" w:type="dxa"/>
            <w:shd w:val="clear" w:color="auto" w:fill="auto"/>
          </w:tcPr>
          <w:p w14:paraId="22118229" w14:textId="77777777" w:rsidR="008801CA" w:rsidRPr="00395E43" w:rsidRDefault="008801CA" w:rsidP="003548A7">
            <w:pPr>
              <w:jc w:val="center"/>
              <w:rPr>
                <w:rFonts w:ascii="Calibri" w:hAnsi="Calibri" w:cs="Calibri"/>
                <w:i/>
              </w:rPr>
            </w:pPr>
            <w:r w:rsidRPr="00395E43">
              <w:rPr>
                <w:rFonts w:ascii="Calibri" w:hAnsi="Calibri" w:cs="Calibri"/>
                <w:i/>
              </w:rPr>
              <w:t>Spazio per l’apposizione del/dei contrassegno/i  telematico/i</w:t>
            </w:r>
          </w:p>
          <w:p w14:paraId="14BB1179" w14:textId="77777777" w:rsidR="008801CA" w:rsidRPr="00395E43" w:rsidRDefault="008801CA" w:rsidP="003548A7">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1DDA25C7" w14:textId="77777777" w:rsidR="008801CA" w:rsidRDefault="008801CA" w:rsidP="008801CA">
      <w:pPr>
        <w:widowControl/>
        <w:autoSpaceDE/>
        <w:autoSpaceDN/>
        <w:adjustRightInd/>
        <w:jc w:val="both"/>
        <w:rPr>
          <w:rFonts w:ascii="Calibri" w:hAnsi="Calibri" w:cs="Calibri"/>
          <w:lang w:bidi="it-IT"/>
        </w:rPr>
      </w:pPr>
    </w:p>
    <w:p w14:paraId="54E80D05" w14:textId="77777777" w:rsidR="008801CA" w:rsidRPr="00577809" w:rsidRDefault="008801CA" w:rsidP="008801CA">
      <w:pPr>
        <w:widowControl/>
        <w:autoSpaceDE/>
        <w:autoSpaceDN/>
        <w:adjustRightInd/>
        <w:ind w:left="426"/>
        <w:jc w:val="center"/>
        <w:rPr>
          <w:rFonts w:ascii="Calibri" w:hAnsi="Calibri" w:cs="Calibri"/>
          <w:b/>
          <w:bCs/>
          <w:lang w:bidi="it-IT"/>
        </w:rPr>
      </w:pPr>
      <w:r w:rsidRPr="00577809">
        <w:rPr>
          <w:rFonts w:ascii="Calibri" w:hAnsi="Calibri" w:cs="Calibri"/>
          <w:b/>
          <w:bCs/>
          <w:lang w:bidi="it-IT"/>
        </w:rPr>
        <w:t>Dichiara inoltre</w:t>
      </w:r>
    </w:p>
    <w:p w14:paraId="65486ED4" w14:textId="77777777" w:rsidR="008801CA" w:rsidRPr="00577809" w:rsidRDefault="008801CA" w:rsidP="008801CA">
      <w:pPr>
        <w:widowControl/>
        <w:autoSpaceDE/>
        <w:autoSpaceDN/>
        <w:adjustRightInd/>
        <w:jc w:val="both"/>
        <w:rPr>
          <w:rFonts w:ascii="Calibri" w:hAnsi="Calibri" w:cs="Calibri"/>
          <w:lang w:bidi="it-IT"/>
        </w:rPr>
      </w:pPr>
    </w:p>
    <w:p w14:paraId="26D09814" w14:textId="77777777" w:rsidR="008801CA" w:rsidRPr="00973F5F" w:rsidRDefault="008801CA" w:rsidP="008801CA">
      <w:pPr>
        <w:widowControl/>
        <w:numPr>
          <w:ilvl w:val="0"/>
          <w:numId w:val="8"/>
        </w:numPr>
        <w:autoSpaceDE/>
        <w:autoSpaceDN/>
        <w:adjustRightInd/>
        <w:ind w:left="426"/>
        <w:jc w:val="both"/>
        <w:rPr>
          <w:rFonts w:ascii="Arial" w:hAnsi="Arial" w:cs="Arial"/>
          <w:sz w:val="22"/>
        </w:rPr>
      </w:pPr>
      <w:r>
        <w:rPr>
          <w:rFonts w:ascii="Calibri" w:hAnsi="Calibri" w:cs="Calibri"/>
        </w:rPr>
        <w:t>d</w:t>
      </w:r>
      <w:r w:rsidRPr="00395E43">
        <w:rPr>
          <w:rFonts w:ascii="Calibri" w:hAnsi="Calibri" w:cs="Calibri"/>
        </w:rPr>
        <w:t>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2B6701AC" w14:textId="77777777" w:rsidR="008801CA" w:rsidRPr="00345BFE" w:rsidRDefault="008801CA" w:rsidP="008801CA">
      <w:pPr>
        <w:ind w:left="4248" w:firstLine="708"/>
        <w:rPr>
          <w:rFonts w:ascii="Calibri" w:hAnsi="Calibri" w:cs="Calibri"/>
          <w:sz w:val="10"/>
          <w:szCs w:val="10"/>
        </w:rPr>
      </w:pPr>
    </w:p>
    <w:p w14:paraId="29B7E520" w14:textId="77777777" w:rsidR="008801CA" w:rsidRPr="00577809" w:rsidRDefault="008801CA" w:rsidP="008801CA">
      <w:pPr>
        <w:ind w:left="4248" w:firstLine="708"/>
        <w:rPr>
          <w:rFonts w:ascii="Calibri" w:hAnsi="Calibri" w:cs="Calibri"/>
          <w:sz w:val="10"/>
          <w:szCs w:val="10"/>
        </w:rPr>
      </w:pPr>
    </w:p>
    <w:p w14:paraId="0EDDB49A" w14:textId="77777777" w:rsidR="008801CA" w:rsidRPr="008139EB" w:rsidRDefault="008801CA" w:rsidP="008801CA">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p w14:paraId="2CE81F97" w14:textId="6F14582C" w:rsidR="00F63776" w:rsidRPr="00E027EC" w:rsidRDefault="00F63776" w:rsidP="00E8138D">
      <w:pPr>
        <w:rPr>
          <w:rFonts w:asciiTheme="minorHAnsi" w:hAnsiTheme="minorHAnsi" w:cstheme="minorHAnsi"/>
          <w:b/>
        </w:rPr>
      </w:pPr>
    </w:p>
    <w:sectPr w:rsidR="00F63776" w:rsidRPr="00E027EC" w:rsidSect="007C4208">
      <w:headerReference w:type="default" r:id="rId11"/>
      <w:footerReference w:type="default" r:id="rId12"/>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999CC" w14:textId="77777777" w:rsidR="00302F78" w:rsidRDefault="00302F78" w:rsidP="004B17AF">
      <w:r>
        <w:separator/>
      </w:r>
    </w:p>
  </w:endnote>
  <w:endnote w:type="continuationSeparator" w:id="0">
    <w:p w14:paraId="18A7D349" w14:textId="77777777" w:rsidR="00302F78" w:rsidRDefault="00302F7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6BF13" w14:textId="77777777" w:rsidR="0036399A" w:rsidRPr="008801CA" w:rsidRDefault="0036399A" w:rsidP="0036399A">
    <w:pPr>
      <w:pStyle w:val="Pidipagina"/>
      <w:jc w:val="right"/>
      <w:rPr>
        <w:rFonts w:asciiTheme="minorHAnsi" w:hAnsiTheme="minorHAnsi" w:cstheme="minorHAnsi"/>
      </w:rPr>
    </w:pPr>
    <w:r w:rsidRPr="008801CA">
      <w:rPr>
        <w:rFonts w:asciiTheme="minorHAnsi" w:hAnsiTheme="minorHAnsi" w:cstheme="minorHAnsi"/>
      </w:rPr>
      <w:t xml:space="preserve">Pag. </w:t>
    </w:r>
    <w:r w:rsidRPr="008801CA">
      <w:rPr>
        <w:rFonts w:asciiTheme="minorHAnsi" w:hAnsiTheme="minorHAnsi" w:cstheme="minorHAnsi"/>
      </w:rPr>
      <w:fldChar w:fldCharType="begin"/>
    </w:r>
    <w:r w:rsidRPr="008801CA">
      <w:rPr>
        <w:rFonts w:asciiTheme="minorHAnsi" w:hAnsiTheme="minorHAnsi" w:cstheme="minorHAnsi"/>
      </w:rPr>
      <w:instrText>PAGE   \* MERGEFORMAT</w:instrText>
    </w:r>
    <w:r w:rsidRPr="008801CA">
      <w:rPr>
        <w:rFonts w:asciiTheme="minorHAnsi" w:hAnsiTheme="minorHAnsi" w:cstheme="minorHAnsi"/>
      </w:rPr>
      <w:fldChar w:fldCharType="separate"/>
    </w:r>
    <w:r w:rsidRPr="008801CA">
      <w:rPr>
        <w:rFonts w:asciiTheme="minorHAnsi" w:hAnsiTheme="minorHAnsi" w:cstheme="minorHAnsi"/>
      </w:rPr>
      <w:t>1</w:t>
    </w:r>
    <w:r w:rsidRPr="008801CA">
      <w:rPr>
        <w:rFonts w:asciiTheme="minorHAnsi" w:hAnsiTheme="minorHAnsi" w:cstheme="minorHAnsi"/>
      </w:rPr>
      <w:fldChar w:fldCharType="end"/>
    </w:r>
  </w:p>
  <w:p w14:paraId="277D2F85" w14:textId="77777777" w:rsidR="0036399A" w:rsidRPr="00F00377" w:rsidRDefault="0036399A" w:rsidP="0036399A">
    <w:pPr>
      <w:tabs>
        <w:tab w:val="left" w:pos="275"/>
      </w:tabs>
    </w:pPr>
    <w:r>
      <w:tab/>
    </w:r>
  </w:p>
  <w:p w14:paraId="0894BF36" w14:textId="77777777" w:rsidR="0036399A" w:rsidRPr="00F00377" w:rsidRDefault="0036399A" w:rsidP="0036399A">
    <w:pPr>
      <w:jc w:val="center"/>
    </w:pPr>
    <w:r w:rsidRPr="00F00377">
      <w:rPr>
        <w:noProof/>
      </w:rPr>
      <w:drawing>
        <wp:inline distT="0" distB="0" distL="0" distR="0" wp14:anchorId="1ED5B5E7" wp14:editId="07B028A7">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36399A" w:rsidRPr="00F00377" w14:paraId="404CBCEF"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4D782F71" w14:textId="77777777" w:rsidR="0036399A" w:rsidRPr="00F00377" w:rsidRDefault="0036399A" w:rsidP="0036399A">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16C0DE11" w14:textId="77777777" w:rsidR="0036399A" w:rsidRPr="00F00377" w:rsidRDefault="0036399A" w:rsidP="0036399A">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0013E7C1" w14:textId="77777777" w:rsidR="0036399A" w:rsidRPr="00F00377" w:rsidRDefault="0036399A" w:rsidP="0036399A">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16AE85B9" w14:textId="77777777" w:rsidR="0036399A" w:rsidRPr="00F00377" w:rsidRDefault="0036399A" w:rsidP="0036399A">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0C1437F5" wp14:editId="7EB368B3">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6399A" w:rsidRPr="00F00377" w14:paraId="77BFB098" w14:textId="77777777" w:rsidTr="00A43307">
      <w:trPr>
        <w:cantSplit/>
        <w:trHeight w:val="404"/>
      </w:trPr>
      <w:tc>
        <w:tcPr>
          <w:tcW w:w="3605" w:type="pct"/>
          <w:vMerge/>
          <w:tcBorders>
            <w:bottom w:val="nil"/>
            <w:right w:val="nil"/>
          </w:tcBorders>
          <w:shd w:val="clear" w:color="auto" w:fill="2A65B0"/>
          <w:vAlign w:val="center"/>
        </w:tcPr>
        <w:p w14:paraId="5AF90332" w14:textId="77777777" w:rsidR="0036399A" w:rsidRPr="00F00377" w:rsidRDefault="0036399A" w:rsidP="0036399A">
          <w:pPr>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1DFC6BC9" w14:textId="77777777" w:rsidR="0036399A" w:rsidRPr="00F00377" w:rsidRDefault="0036399A" w:rsidP="0036399A">
          <w:pPr>
            <w:rPr>
              <w:rFonts w:ascii="Titillium Web" w:hAnsi="Titillium Web" w:cs="BkwnxrHelveticaLTCom"/>
              <w:i/>
              <w:color w:val="FFFFFF"/>
              <w:sz w:val="16"/>
              <w:szCs w:val="16"/>
            </w:rPr>
          </w:pPr>
        </w:p>
      </w:tc>
    </w:tr>
  </w:tbl>
  <w:p w14:paraId="40DA9765" w14:textId="2DA623EF" w:rsidR="000B2B18" w:rsidRPr="0036399A" w:rsidRDefault="0036399A" w:rsidP="0036399A">
    <w:pPr>
      <w:pStyle w:val="Pidipagina"/>
      <w:tabs>
        <w:tab w:val="clear" w:pos="4819"/>
        <w:tab w:val="clear" w:pos="9638"/>
        <w:tab w:val="left" w:pos="695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0EABF" w14:textId="77777777" w:rsidR="00302F78" w:rsidRDefault="00302F78" w:rsidP="004B17AF">
      <w:r>
        <w:separator/>
      </w:r>
    </w:p>
  </w:footnote>
  <w:footnote w:type="continuationSeparator" w:id="0">
    <w:p w14:paraId="27D95815" w14:textId="77777777" w:rsidR="00302F78" w:rsidRDefault="00302F78" w:rsidP="004B17AF">
      <w:r>
        <w:continuationSeparator/>
      </w:r>
    </w:p>
  </w:footnote>
  <w:footnote w:id="1">
    <w:p w14:paraId="6A661F5B" w14:textId="77777777" w:rsidR="008801CA" w:rsidRPr="008F6C7A" w:rsidRDefault="008801CA" w:rsidP="008801CA">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ACDD4BA" w14:textId="77777777" w:rsidR="008801CA" w:rsidRPr="008F6C7A" w:rsidRDefault="008801CA" w:rsidP="008801CA">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1FB5D" w14:textId="77777777" w:rsidR="0098163D" w:rsidRDefault="0098163D" w:rsidP="0098163D">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1ACFB6DC" wp14:editId="0B74D655">
          <wp:simplePos x="0" y="0"/>
          <wp:positionH relativeFrom="column">
            <wp:posOffset>-761301</wp:posOffset>
          </wp:positionH>
          <wp:positionV relativeFrom="paragraph">
            <wp:posOffset>-232931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717504AF" w14:textId="77777777" w:rsidR="0098163D" w:rsidRDefault="0098163D" w:rsidP="0098163D">
    <w:pPr>
      <w:pStyle w:val="Intestazione"/>
      <w:rPr>
        <w:b/>
        <w:sz w:val="28"/>
      </w:rPr>
    </w:pPr>
  </w:p>
  <w:p w14:paraId="3141AEFA" w14:textId="77777777" w:rsidR="0098163D" w:rsidRDefault="0098163D" w:rsidP="0098163D">
    <w:pPr>
      <w:pStyle w:val="Intestazione"/>
      <w:rPr>
        <w:b/>
        <w:i/>
        <w:color w:val="000080"/>
      </w:rPr>
    </w:pPr>
  </w:p>
  <w:p w14:paraId="3FE27AF9" w14:textId="77777777" w:rsidR="0098163D" w:rsidRDefault="0098163D" w:rsidP="0098163D">
    <w:pPr>
      <w:pStyle w:val="Intestazione"/>
    </w:pPr>
  </w:p>
  <w:p w14:paraId="6E94673D" w14:textId="77777777" w:rsidR="0098163D" w:rsidRDefault="0098163D" w:rsidP="0098163D">
    <w:pPr>
      <w:pStyle w:val="Intestazione"/>
    </w:pPr>
    <w:r>
      <w:rPr>
        <w:noProof/>
      </w:rPr>
      <w:drawing>
        <wp:anchor distT="0" distB="0" distL="114300" distR="114300" simplePos="0" relativeHeight="251659264" behindDoc="1" locked="0" layoutInCell="1" allowOverlap="1" wp14:anchorId="74AB4727" wp14:editId="69D5932F">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4E49859F" w14:textId="77777777" w:rsidR="0098163D" w:rsidRDefault="0098163D" w:rsidP="0098163D">
    <w:pPr>
      <w:pStyle w:val="Intestazione"/>
    </w:pPr>
  </w:p>
  <w:p w14:paraId="75980557" w14:textId="77777777" w:rsidR="0098163D" w:rsidRDefault="0098163D" w:rsidP="0098163D">
    <w:pPr>
      <w:pStyle w:val="Intestazione"/>
      <w:tabs>
        <w:tab w:val="clear" w:pos="9638"/>
        <w:tab w:val="right" w:pos="9864"/>
      </w:tabs>
      <w:ind w:left="-1021" w:right="-1021" w:firstLine="28"/>
    </w:pPr>
  </w:p>
  <w:p w14:paraId="6411DFFA" w14:textId="77777777" w:rsidR="0098163D" w:rsidRDefault="0098163D" w:rsidP="0098163D">
    <w:pPr>
      <w:pStyle w:val="Intestazione"/>
    </w:pPr>
  </w:p>
  <w:p w14:paraId="1CCA5FF3" w14:textId="77777777" w:rsidR="0098163D" w:rsidRDefault="0098163D" w:rsidP="0098163D">
    <w:pPr>
      <w:pStyle w:val="Corpotesto"/>
      <w:spacing w:line="14" w:lineRule="auto"/>
      <w:ind w:left="-851"/>
    </w:pPr>
  </w:p>
  <w:p w14:paraId="4B46B076" w14:textId="22EBDF4B"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62012282">
    <w:abstractNumId w:val="5"/>
  </w:num>
  <w:num w:numId="2" w16cid:durableId="1856066601">
    <w:abstractNumId w:val="8"/>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7"/>
  </w:num>
  <w:num w:numId="9" w16cid:durableId="659699003">
    <w:abstractNumId w:val="9"/>
  </w:num>
  <w:num w:numId="10" w16cid:durableId="70918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B2B18"/>
    <w:rsid w:val="000D733D"/>
    <w:rsid w:val="000E17DA"/>
    <w:rsid w:val="001015B0"/>
    <w:rsid w:val="00115CDB"/>
    <w:rsid w:val="00141C66"/>
    <w:rsid w:val="00146750"/>
    <w:rsid w:val="00157803"/>
    <w:rsid w:val="001631F8"/>
    <w:rsid w:val="001B23A5"/>
    <w:rsid w:val="001C448C"/>
    <w:rsid w:val="00262BC3"/>
    <w:rsid w:val="002A5511"/>
    <w:rsid w:val="002A5924"/>
    <w:rsid w:val="002E0E40"/>
    <w:rsid w:val="002E1D98"/>
    <w:rsid w:val="00301333"/>
    <w:rsid w:val="00302F78"/>
    <w:rsid w:val="00317781"/>
    <w:rsid w:val="003316C5"/>
    <w:rsid w:val="0036399A"/>
    <w:rsid w:val="0036621F"/>
    <w:rsid w:val="003A4D70"/>
    <w:rsid w:val="003C22E1"/>
    <w:rsid w:val="003C5A42"/>
    <w:rsid w:val="003E2C47"/>
    <w:rsid w:val="00410519"/>
    <w:rsid w:val="00421731"/>
    <w:rsid w:val="004277D8"/>
    <w:rsid w:val="004404D2"/>
    <w:rsid w:val="0046064E"/>
    <w:rsid w:val="00462FC4"/>
    <w:rsid w:val="00477D0F"/>
    <w:rsid w:val="004A452B"/>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9496A"/>
    <w:rsid w:val="00730559"/>
    <w:rsid w:val="007323DD"/>
    <w:rsid w:val="0073644E"/>
    <w:rsid w:val="007368DB"/>
    <w:rsid w:val="00776AD0"/>
    <w:rsid w:val="00781527"/>
    <w:rsid w:val="007C4208"/>
    <w:rsid w:val="007D5237"/>
    <w:rsid w:val="007E58E6"/>
    <w:rsid w:val="0080052C"/>
    <w:rsid w:val="00804CB5"/>
    <w:rsid w:val="008159D2"/>
    <w:rsid w:val="00826427"/>
    <w:rsid w:val="00835D05"/>
    <w:rsid w:val="008472DC"/>
    <w:rsid w:val="00854CFE"/>
    <w:rsid w:val="00875309"/>
    <w:rsid w:val="008801CA"/>
    <w:rsid w:val="00887F67"/>
    <w:rsid w:val="008C030F"/>
    <w:rsid w:val="008F5AC8"/>
    <w:rsid w:val="00923941"/>
    <w:rsid w:val="0093508B"/>
    <w:rsid w:val="0098163D"/>
    <w:rsid w:val="009A7172"/>
    <w:rsid w:val="009C1FD4"/>
    <w:rsid w:val="009C3EE0"/>
    <w:rsid w:val="009E08DA"/>
    <w:rsid w:val="009F3AE9"/>
    <w:rsid w:val="009F5043"/>
    <w:rsid w:val="009F54AC"/>
    <w:rsid w:val="00A13F49"/>
    <w:rsid w:val="00A244F3"/>
    <w:rsid w:val="00A26C32"/>
    <w:rsid w:val="00A33B68"/>
    <w:rsid w:val="00A52DFE"/>
    <w:rsid w:val="00AA0702"/>
    <w:rsid w:val="00AA0FA5"/>
    <w:rsid w:val="00AB10A6"/>
    <w:rsid w:val="00AB687E"/>
    <w:rsid w:val="00B140CE"/>
    <w:rsid w:val="00B257E3"/>
    <w:rsid w:val="00B26B8C"/>
    <w:rsid w:val="00B33B77"/>
    <w:rsid w:val="00B51BE3"/>
    <w:rsid w:val="00B762DB"/>
    <w:rsid w:val="00BD6C92"/>
    <w:rsid w:val="00C10ED8"/>
    <w:rsid w:val="00C13CFD"/>
    <w:rsid w:val="00C1520A"/>
    <w:rsid w:val="00C56DA5"/>
    <w:rsid w:val="00CA6580"/>
    <w:rsid w:val="00CE25B1"/>
    <w:rsid w:val="00CE6482"/>
    <w:rsid w:val="00CF22A3"/>
    <w:rsid w:val="00D2682A"/>
    <w:rsid w:val="00D426E3"/>
    <w:rsid w:val="00D717A4"/>
    <w:rsid w:val="00D97C5D"/>
    <w:rsid w:val="00D97CA6"/>
    <w:rsid w:val="00DE4777"/>
    <w:rsid w:val="00E027EC"/>
    <w:rsid w:val="00E62B62"/>
    <w:rsid w:val="00E7199A"/>
    <w:rsid w:val="00E8138D"/>
    <w:rsid w:val="00F05960"/>
    <w:rsid w:val="00F279D1"/>
    <w:rsid w:val="00F6192B"/>
    <w:rsid w:val="00F63776"/>
    <w:rsid w:val="00F642CD"/>
    <w:rsid w:val="00F91235"/>
    <w:rsid w:val="00FD3DBB"/>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98163D"/>
    <w:pPr>
      <w:spacing w:after="120"/>
    </w:pPr>
  </w:style>
  <w:style w:type="character" w:customStyle="1" w:styleId="CorpotestoCarattere">
    <w:name w:val="Corpo testo Carattere"/>
    <w:basedOn w:val="Carpredefinitoparagrafo"/>
    <w:link w:val="Corpotesto"/>
    <w:uiPriority w:val="99"/>
    <w:semiHidden/>
    <w:rsid w:val="0098163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750009281">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4.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411</Words>
  <Characters>2347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21</cp:revision>
  <dcterms:created xsi:type="dcterms:W3CDTF">2023-07-29T17:43:00Z</dcterms:created>
  <dcterms:modified xsi:type="dcterms:W3CDTF">2024-03-22T08:32:00Z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