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spacing w:after="240" w:lineRule="auto"/>
        <w:jc w:val="both"/>
        <w:rPr>
          <w:rFonts w:ascii="Titillium Web" w:cs="Titillium Web" w:eastAsia="Titillium Web" w:hAnsi="Titillium Web"/>
          <w:smallCaps w:val="1"/>
        </w:rPr>
      </w:pPr>
      <w:r w:rsidDel="00000000" w:rsidR="00000000" w:rsidRPr="00000000">
        <w:rPr>
          <w:rFonts w:ascii="Titillium Web" w:cs="Titillium Web" w:eastAsia="Titillium Web" w:hAnsi="Titillium Web"/>
          <w:b w:val="1"/>
          <w:smallCaps w:val="1"/>
          <w:rtl w:val="0"/>
        </w:rPr>
        <w:t xml:space="preserve">RELAZIONE TECNICA</w:t>
      </w:r>
      <w:r w:rsidDel="00000000" w:rsidR="00000000" w:rsidRPr="00000000">
        <w:rPr>
          <w:rFonts w:ascii="Titillium Web" w:cs="Titillium Web" w:eastAsia="Titillium Web" w:hAnsi="Titillium Web"/>
          <w:smallCaps w:val="1"/>
          <w:rtl w:val="0"/>
        </w:rPr>
        <w:t xml:space="preserve"> GARA A PROCEDURA APERTA SOPRA SOGLIA COMUNITARIA SU PIATTAFORMA TELEMATICA ASP DI CONSIP S.p.A. AI SENSI DELL’ART. 71 DEL DECRETO LEGISLATIVO N. 36/2023 PER L’AFFIDAMENTO DEL SERVIZIO DI RILEVAZIONE ED ACQUISIZIONE DATI PER LO SVOLGIMENTO IN ITALIA DI UN SERVIZIO DI RECLUTAMENTO E PREPARAZIONE DI CAMPIONI STATISTICAMENTE RAPPRESENTATIVI PER UN TOTALE DI CIRCA 27.400 INDIVIDUI E 1.000 FAMIGLIE RISPONDENTI NELL’AMBITO DEL PIANO NAZIONALE RIPRESA E RESILIENZA (PNRR)  MISSIONE 4 “ISTRUZIONE E RICERCA” - COMPONENTE 2, “DALLA RICERCA ALL’IMPRESA” - LINEA DI INVESTIMENTO 3.1, “FONDO PER LA REALIZZAZIONE DI UN SISTEMA INTEGRATO DI INFRASTRUTTURE DI RICERCA E INNOVAZIONE”, PROGETTO FOSSR CUP B83C22003950001 CIG A01BC2BACC</w:t>
      </w:r>
    </w:p>
    <w:tbl>
      <w:tblPr>
        <w:tblStyle w:val="Table1"/>
        <w:tblW w:w="9854.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62"/>
        <w:gridCol w:w="2835"/>
        <w:gridCol w:w="6457"/>
        <w:tblGridChange w:id="0">
          <w:tblGrid>
            <w:gridCol w:w="562"/>
            <w:gridCol w:w="2835"/>
            <w:gridCol w:w="6457"/>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2">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Titillium Web" w:cs="Titillium Web" w:eastAsia="Titillium Web" w:hAnsi="Titillium Web"/>
                <w:i w:val="1"/>
                <w:color w:val="000000"/>
                <w:sz w:val="20"/>
                <w:szCs w:val="20"/>
              </w:rPr>
            </w:pPr>
            <w:r w:rsidDel="00000000" w:rsidR="00000000" w:rsidRPr="00000000">
              <w:rPr>
                <w:rFonts w:ascii="Titillium Web" w:cs="Titillium Web" w:eastAsia="Titillium Web" w:hAnsi="Titillium Web"/>
                <w:color w:val="000000"/>
                <w:sz w:val="20"/>
                <w:szCs w:val="20"/>
                <w:rtl w:val="0"/>
              </w:rPr>
              <w:t xml:space="preserve">Il sottoscritto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4">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Calibri" w:cs="Calibri" w:eastAsia="Calibri" w:hAnsi="Calibri"/>
                <w:i w:val="1"/>
                <w:color w:val="000000"/>
                <w:sz w:val="20"/>
                <w:szCs w:val="20"/>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5">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Titillium Web" w:cs="Titillium Web" w:eastAsia="Titillium Web" w:hAnsi="Titillium Web"/>
                <w:i w:val="1"/>
                <w:color w:val="000000"/>
                <w:sz w:val="20"/>
                <w:szCs w:val="20"/>
              </w:rPr>
            </w:pPr>
            <w:r w:rsidDel="00000000" w:rsidR="00000000" w:rsidRPr="00000000">
              <w:rPr>
                <w:rFonts w:ascii="Titillium Web" w:cs="Titillium Web" w:eastAsia="Titillium Web" w:hAnsi="Titillium Web"/>
                <w:color w:val="000000"/>
                <w:sz w:val="20"/>
                <w:szCs w:val="20"/>
                <w:rtl w:val="0"/>
              </w:rPr>
              <w:t xml:space="preserve">Codice fiscale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7">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Calibri" w:cs="Calibri" w:eastAsia="Calibri" w:hAnsi="Calibri"/>
                <w:i w:val="1"/>
                <w:color w:val="000000"/>
                <w:sz w:val="20"/>
                <w:szCs w:val="20"/>
              </w:rPr>
            </w:pPr>
            <w:r w:rsidDel="00000000" w:rsidR="00000000" w:rsidRPr="00000000">
              <w:rPr>
                <w:rtl w:val="0"/>
              </w:rPr>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8">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Titillium Web" w:cs="Titillium Web" w:eastAsia="Titillium Web" w:hAnsi="Titillium Web"/>
                <w:i w:val="1"/>
                <w:color w:val="000000"/>
                <w:sz w:val="20"/>
                <w:szCs w:val="20"/>
              </w:rPr>
            </w:pPr>
            <w:r w:rsidDel="00000000" w:rsidR="00000000" w:rsidRPr="00000000">
              <w:rPr>
                <w:rFonts w:ascii="Titillium Web" w:cs="Titillium Web" w:eastAsia="Titillium Web" w:hAnsi="Titillium Web"/>
                <w:color w:val="000000"/>
                <w:sz w:val="20"/>
                <w:szCs w:val="20"/>
                <w:rtl w:val="0"/>
              </w:rPr>
              <w:t xml:space="preserve">Nella sua qualità di: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B">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jc w:val="center"/>
              <w:rPr>
                <w:rFonts w:ascii="Titillium Web" w:cs="Titillium Web" w:eastAsia="Titillium Web" w:hAnsi="Titillium Web"/>
                <w:color w:val="000000"/>
                <w:sz w:val="20"/>
                <w:szCs w:val="20"/>
              </w:rPr>
            </w:pPr>
            <w:r w:rsidDel="00000000" w:rsidR="00000000" w:rsidRPr="00000000">
              <w:rPr>
                <w:rFonts w:ascii="Arimo" w:cs="Arimo" w:eastAsia="Arimo" w:hAnsi="Arimo"/>
                <w:color w:val="000000"/>
                <w:sz w:val="32"/>
                <w:szCs w:val="32"/>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C">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Titillium Web" w:cs="Titillium Web" w:eastAsia="Titillium Web" w:hAnsi="Titillium Web"/>
                <w:color w:val="000000"/>
                <w:sz w:val="20"/>
                <w:szCs w:val="20"/>
              </w:rPr>
            </w:pPr>
            <w:r w:rsidDel="00000000" w:rsidR="00000000" w:rsidRPr="00000000">
              <w:rPr>
                <w:rFonts w:ascii="Titillium Web" w:cs="Titillium Web" w:eastAsia="Titillium Web" w:hAnsi="Titillium Web"/>
                <w:color w:val="000000"/>
                <w:sz w:val="20"/>
                <w:szCs w:val="20"/>
                <w:rtl w:val="0"/>
              </w:rPr>
              <w:t xml:space="preserve">Titolare o Legale rappresentante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E">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jc w:val="center"/>
              <w:rPr>
                <w:rFonts w:ascii="Titillium Web" w:cs="Titillium Web" w:eastAsia="Titillium Web" w:hAnsi="Titillium Web"/>
                <w:color w:val="000000"/>
                <w:sz w:val="20"/>
                <w:szCs w:val="20"/>
              </w:rPr>
            </w:pPr>
            <w:r w:rsidDel="00000000" w:rsidR="00000000" w:rsidRPr="00000000">
              <w:rPr>
                <w:rFonts w:ascii="Arimo" w:cs="Arimo" w:eastAsia="Arimo" w:hAnsi="Arimo"/>
                <w:color w:val="000000"/>
                <w:sz w:val="32"/>
                <w:szCs w:val="32"/>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F">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Titillium Web" w:cs="Titillium Web" w:eastAsia="Titillium Web" w:hAnsi="Titillium Web"/>
                <w:color w:val="000000"/>
                <w:sz w:val="20"/>
                <w:szCs w:val="20"/>
              </w:rPr>
            </w:pPr>
            <w:r w:rsidDel="00000000" w:rsidR="00000000" w:rsidRPr="00000000">
              <w:rPr>
                <w:rFonts w:ascii="Titillium Web" w:cs="Titillium Web" w:eastAsia="Titillium Web" w:hAnsi="Titillium Web"/>
                <w:color w:val="000000"/>
                <w:sz w:val="20"/>
                <w:szCs w:val="20"/>
                <w:rtl w:val="0"/>
              </w:rPr>
              <w:t xml:space="preserve">Procuratore</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1">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Titillium Web" w:cs="Titillium Web" w:eastAsia="Titillium Web" w:hAnsi="Titillium Web"/>
                <w:i w:val="1"/>
                <w:color w:val="000000"/>
                <w:sz w:val="20"/>
                <w:szCs w:val="20"/>
              </w:rPr>
            </w:pPr>
            <w:r w:rsidDel="00000000" w:rsidR="00000000" w:rsidRPr="00000000">
              <w:rPr>
                <w:rFonts w:ascii="Titillium Web" w:cs="Titillium Web" w:eastAsia="Titillium Web" w:hAnsi="Titillium Web"/>
                <w:color w:val="000000"/>
                <w:sz w:val="20"/>
                <w:szCs w:val="20"/>
                <w:rtl w:val="0"/>
              </w:rPr>
              <w:t xml:space="preserve">Del concorrente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3">
            <w:pPr>
              <w:widowControl w:val="1"/>
              <w:pBdr>
                <w:top w:space="0" w:sz="0" w:val="nil"/>
                <w:left w:space="0" w:sz="0" w:val="nil"/>
                <w:bottom w:space="0" w:sz="0" w:val="nil"/>
                <w:right w:space="0" w:sz="0" w:val="nil"/>
                <w:between w:space="0" w:sz="0" w:val="nil"/>
              </w:pBdr>
              <w:tabs>
                <w:tab w:val="left" w:leader="none" w:pos="-1800"/>
                <w:tab w:val="left" w:leader="none" w:pos="1080"/>
                <w:tab w:val="left" w:leader="none" w:pos="1800"/>
                <w:tab w:val="left" w:leader="none" w:pos="6300"/>
              </w:tabs>
              <w:spacing w:after="40" w:before="40" w:lineRule="auto"/>
              <w:rPr>
                <w:rFonts w:ascii="Calibri" w:cs="Calibri" w:eastAsia="Calibri" w:hAnsi="Calibri"/>
                <w:i w:val="1"/>
                <w:color w:val="000000"/>
                <w:sz w:val="20"/>
                <w:szCs w:val="20"/>
              </w:rPr>
            </w:pPr>
            <w:r w:rsidDel="00000000" w:rsidR="00000000" w:rsidRPr="00000000">
              <w:rPr>
                <w:rtl w:val="0"/>
              </w:rPr>
            </w:r>
          </w:p>
        </w:tc>
      </w:tr>
    </w:tbl>
    <w:p w:rsidR="00000000" w:rsidDel="00000000" w:rsidP="00000000" w:rsidRDefault="00000000" w:rsidRPr="00000000" w14:paraId="00000014">
      <w:pPr>
        <w:spacing w:after="200" w:before="240" w:lineRule="auto"/>
        <w:jc w:val="center"/>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DICHIARA DI OFFRIRE</w:t>
      </w:r>
    </w:p>
    <w:p w:rsidR="00000000" w:rsidDel="00000000" w:rsidP="00000000" w:rsidRDefault="00000000" w:rsidRPr="00000000" w14:paraId="00000015">
      <w:pPr>
        <w:spacing w:after="240" w:lineRule="auto"/>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La Relazione tecnica deve essere redatta preferibilmente in lingua italiana, chiara e sintetica, ma allo stesso tempo precisa ed esaustiva in grado di offrire un quadro complessivo e dettagliato del servizio proposto. Si potrà altresì allegare materiali illustrativi nonché pubblicazioni scientifiche a dimostrazione di quanto descritto nella Relazione tecnica. Si sottolinea che la Relazione tecnica deve contenere le informazioni che consentano sia la verifica della rispondenza dell’offerta ai requisiti minimi di cui al Capitolato Tecnico sia l’assegnazione del punteggio tecnico di cui al Disciplinare, e in particolare:</w:t>
      </w:r>
    </w:p>
    <w:p w:rsidR="00000000" w:rsidDel="00000000" w:rsidP="00000000" w:rsidRDefault="00000000" w:rsidRPr="00000000" w14:paraId="00000016">
      <w:pPr>
        <w:numPr>
          <w:ilvl w:val="0"/>
          <w:numId w:val="1"/>
        </w:numPr>
        <w:pBdr>
          <w:top w:space="0" w:sz="0" w:val="nil"/>
          <w:left w:space="0" w:sz="0" w:val="nil"/>
          <w:bottom w:space="0" w:sz="0" w:val="nil"/>
          <w:right w:space="0" w:sz="0" w:val="nil"/>
          <w:between w:space="0" w:sz="0" w:val="nil"/>
        </w:pBdr>
        <w:ind w:left="720" w:hanging="360"/>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Caratteristiche e esperienza pregressa del proponente con riferimento all’ambito di attività oggetto del Capitolato Tecnico;</w:t>
      </w:r>
    </w:p>
    <w:p w:rsidR="00000000" w:rsidDel="00000000" w:rsidP="00000000" w:rsidRDefault="00000000" w:rsidRPr="00000000" w14:paraId="00000017">
      <w:pPr>
        <w:numPr>
          <w:ilvl w:val="0"/>
          <w:numId w:val="1"/>
        </w:numPr>
        <w:pBdr>
          <w:top w:space="0" w:sz="0" w:val="nil"/>
          <w:left w:space="0" w:sz="0" w:val="nil"/>
          <w:bottom w:space="0" w:sz="0" w:val="nil"/>
          <w:right w:space="0" w:sz="0" w:val="nil"/>
          <w:between w:space="0" w:sz="0" w:val="nil"/>
        </w:pBdr>
        <w:ind w:left="720" w:hanging="360"/>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Organizzazione del servizio proposto;</w:t>
      </w:r>
    </w:p>
    <w:p w:rsidR="00000000" w:rsidDel="00000000" w:rsidP="00000000" w:rsidRDefault="00000000" w:rsidRPr="00000000" w14:paraId="00000018">
      <w:pPr>
        <w:numPr>
          <w:ilvl w:val="0"/>
          <w:numId w:val="1"/>
        </w:numPr>
        <w:pBdr>
          <w:top w:space="0" w:sz="0" w:val="nil"/>
          <w:left w:space="0" w:sz="0" w:val="nil"/>
          <w:bottom w:space="0" w:sz="0" w:val="nil"/>
          <w:right w:space="0" w:sz="0" w:val="nil"/>
          <w:between w:space="0" w:sz="0" w:val="nil"/>
        </w:pBdr>
        <w:ind w:left="720" w:hanging="360"/>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Attività previste per la selezione e formazione del team di lavoro;</w:t>
      </w:r>
    </w:p>
    <w:p w:rsidR="00000000" w:rsidDel="00000000" w:rsidP="00000000" w:rsidRDefault="00000000" w:rsidRPr="00000000" w14:paraId="00000019">
      <w:pPr>
        <w:numPr>
          <w:ilvl w:val="0"/>
          <w:numId w:val="1"/>
        </w:numPr>
        <w:pBdr>
          <w:top w:space="0" w:sz="0" w:val="nil"/>
          <w:left w:space="0" w:sz="0" w:val="nil"/>
          <w:bottom w:space="0" w:sz="0" w:val="nil"/>
          <w:right w:space="0" w:sz="0" w:val="nil"/>
          <w:between w:space="0" w:sz="0" w:val="nil"/>
        </w:pBdr>
        <w:ind w:left="720" w:hanging="360"/>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Modalità e strumenti per la gestione del team di lavoro, dei processi di lavoro di lavoro e della relazione con la Stazione appaltante;</w:t>
      </w:r>
    </w:p>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ind w:left="720" w:hanging="360"/>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Descrizione della qualità della proposta e delle strategie adottate per il raggiungimento dei target indicati nel Capitolato Tecnico;</w:t>
      </w:r>
    </w:p>
    <w:p w:rsidR="00000000" w:rsidDel="00000000" w:rsidP="00000000" w:rsidRDefault="00000000" w:rsidRPr="00000000" w14:paraId="0000001B">
      <w:pPr>
        <w:numPr>
          <w:ilvl w:val="0"/>
          <w:numId w:val="1"/>
        </w:numPr>
        <w:pBdr>
          <w:top w:space="0" w:sz="0" w:val="nil"/>
          <w:left w:space="0" w:sz="0" w:val="nil"/>
          <w:bottom w:space="0" w:sz="0" w:val="nil"/>
          <w:right w:space="0" w:sz="0" w:val="nil"/>
          <w:between w:space="0" w:sz="0" w:val="nil"/>
        </w:pBdr>
        <w:ind w:left="720" w:hanging="360"/>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Skills e competenze delle figure professionali;</w:t>
      </w:r>
    </w:p>
    <w:p w:rsidR="00000000" w:rsidDel="00000000" w:rsidP="00000000" w:rsidRDefault="00000000" w:rsidRPr="00000000" w14:paraId="0000001C">
      <w:pPr>
        <w:numPr>
          <w:ilvl w:val="0"/>
          <w:numId w:val="1"/>
        </w:numPr>
        <w:pBdr>
          <w:top w:space="0" w:sz="0" w:val="nil"/>
          <w:left w:space="0" w:sz="0" w:val="nil"/>
          <w:bottom w:space="0" w:sz="0" w:val="nil"/>
          <w:right w:space="0" w:sz="0" w:val="nil"/>
          <w:between w:space="0" w:sz="0" w:val="nil"/>
        </w:pBdr>
        <w:ind w:left="720" w:hanging="360"/>
        <w:jc w:val="both"/>
        <w:rPr>
          <w:rFonts w:ascii="Titillium Web" w:cs="Titillium Web" w:eastAsia="Titillium Web" w:hAnsi="Titillium Web"/>
        </w:rPr>
      </w:pPr>
      <w:r w:rsidDel="00000000" w:rsidR="00000000" w:rsidRPr="00000000">
        <w:rPr>
          <w:rFonts w:ascii="Titillium Web" w:cs="Titillium Web" w:eastAsia="Titillium Web" w:hAnsi="Titillium Web"/>
          <w:rtl w:val="0"/>
        </w:rPr>
        <w:t xml:space="preserve">Eventuali proposte migliorative.</w:t>
      </w:r>
    </w:p>
    <w:p w:rsidR="00000000" w:rsidDel="00000000" w:rsidP="00000000" w:rsidRDefault="00000000" w:rsidRPr="00000000" w14:paraId="0000001D">
      <w:pPr>
        <w:pBdr>
          <w:top w:space="0" w:sz="0" w:val="nil"/>
          <w:left w:space="0" w:sz="0" w:val="nil"/>
          <w:bottom w:space="0" w:sz="0" w:val="nil"/>
          <w:right w:space="0" w:sz="0" w:val="nil"/>
          <w:between w:space="0" w:sz="0" w:val="nil"/>
        </w:pBdr>
        <w:ind w:left="720" w:firstLine="0"/>
        <w:jc w:val="both"/>
        <w:rPr>
          <w:rFonts w:ascii="Titillium Web" w:cs="Titillium Web" w:eastAsia="Titillium Web" w:hAnsi="Titillium Web"/>
        </w:rPr>
      </w:pPr>
      <w:bookmarkStart w:colFirst="0" w:colLast="0" w:name="_gjdgxs" w:id="0"/>
      <w:bookmarkEnd w:id="0"/>
      <w:r w:rsidDel="00000000" w:rsidR="00000000" w:rsidRPr="00000000">
        <w:rPr>
          <w:rtl w:val="0"/>
        </w:rPr>
      </w:r>
    </w:p>
    <w:p w:rsidR="00000000" w:rsidDel="00000000" w:rsidP="00000000" w:rsidRDefault="00000000" w:rsidRPr="00000000" w14:paraId="0000001E">
      <w:pPr>
        <w:jc w:val="right"/>
        <w:rPr>
          <w:rFonts w:ascii="Titillium Web" w:cs="Titillium Web" w:eastAsia="Titillium Web" w:hAnsi="Titillium Web"/>
          <w:i w:val="1"/>
          <w:u w:val="single"/>
        </w:rPr>
      </w:pPr>
      <w:r w:rsidDel="00000000" w:rsidR="00000000" w:rsidRPr="00000000">
        <w:rPr>
          <w:rFonts w:ascii="Titillium Web" w:cs="Titillium Web" w:eastAsia="Titillium Web" w:hAnsi="Titillium Web"/>
          <w:rtl w:val="0"/>
        </w:rPr>
        <w:t xml:space="preserve">Firma digitale</w:t>
      </w:r>
      <w:r w:rsidDel="00000000" w:rsidR="00000000" w:rsidRPr="00000000">
        <w:rPr>
          <w:rFonts w:ascii="Titillium Web" w:cs="Titillium Web" w:eastAsia="Titillium Web" w:hAnsi="Titillium Web"/>
          <w:vertAlign w:val="superscript"/>
        </w:rPr>
        <w:footnoteReference w:customMarkFollows="0" w:id="0"/>
      </w:r>
      <w:r w:rsidDel="00000000" w:rsidR="00000000" w:rsidRPr="00000000">
        <w:rPr>
          <w:rFonts w:ascii="Titillium Web" w:cs="Titillium Web" w:eastAsia="Titillium Web" w:hAnsi="Titillium Web"/>
          <w:rtl w:val="0"/>
        </w:rPr>
        <w:t xml:space="preserve"> del legale rappresentante/procuratore</w:t>
      </w:r>
      <w:r w:rsidDel="00000000" w:rsidR="00000000" w:rsidRPr="00000000">
        <w:rPr>
          <w:rFonts w:ascii="Titillium Web" w:cs="Titillium Web" w:eastAsia="Titillium Web" w:hAnsi="Titillium Web"/>
          <w:vertAlign w:val="superscript"/>
        </w:rPr>
        <w:footnoteReference w:customMarkFollows="0" w:id="1"/>
      </w:r>
      <w:r w:rsidDel="00000000" w:rsidR="00000000" w:rsidRPr="00000000">
        <w:rPr>
          <w:rtl w:val="0"/>
        </w:rPr>
      </w:r>
    </w:p>
    <w:p w:rsidR="00000000" w:rsidDel="00000000" w:rsidP="00000000" w:rsidRDefault="00000000" w:rsidRPr="00000000" w14:paraId="0000001F">
      <w:pPr>
        <w:jc w:val="center"/>
        <w:rPr>
          <w:rFonts w:ascii="Calibri" w:cs="Calibri" w:eastAsia="Calibri" w:hAnsi="Calibri"/>
        </w:rPr>
      </w:pPr>
      <w:r w:rsidDel="00000000" w:rsidR="00000000" w:rsidRPr="00000000">
        <w:rPr>
          <w:rtl w:val="0"/>
        </w:rPr>
      </w:r>
    </w:p>
    <w:sectPr>
      <w:headerReference r:id="rId7" w:type="default"/>
      <w:footerReference r:id="rId8" w:type="default"/>
      <w:pgSz w:h="16838" w:w="11906" w:orient="portrait"/>
      <w:pgMar w:bottom="964" w:top="964" w:left="1021" w:right="1021" w:header="14" w:footer="47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itillium Web">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center" w:leader="none" w:pos="4819"/>
        <w:tab w:val="right" w:leader="none" w:pos="9638"/>
      </w:tabs>
      <w:jc w:val="right"/>
      <w:rPr>
        <w:rFonts w:ascii="Calibri" w:cs="Calibri" w:eastAsia="Calibri" w:hAnsi="Calibri"/>
        <w:color w:val="000000"/>
      </w:rPr>
    </w:pPr>
    <w:r w:rsidDel="00000000" w:rsidR="00000000" w:rsidRPr="00000000">
      <w:rPr>
        <w:rFonts w:ascii="Calibri" w:cs="Calibri" w:eastAsia="Calibri" w:hAnsi="Calibri"/>
        <w:color w:val="000000"/>
        <w:rtl w:val="0"/>
      </w:rPr>
      <w:t xml:space="preserve">Pag. </w:t>
    </w:r>
    <w:r w:rsidDel="00000000" w:rsidR="00000000" w:rsidRPr="00000000">
      <w:rPr>
        <w:rFonts w:ascii="Calibri" w:cs="Calibri" w:eastAsia="Calibri" w:hAnsi="Calibri"/>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center" w:leader="none" w:pos="4819"/>
        <w:tab w:val="right" w:leader="none" w:pos="9638"/>
      </w:tabs>
      <w:ind w:right="36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-687858</wp:posOffset>
          </wp:positionH>
          <wp:positionV relativeFrom="paragraph">
            <wp:posOffset>123825</wp:posOffset>
          </wp:positionV>
          <wp:extent cx="7642225" cy="817880"/>
          <wp:effectExtent b="0" l="0" r="0" t="0"/>
          <wp:wrapNone/>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642225" cy="817880"/>
                  </a:xfrm>
                  <a:prstGeom prst="rect"/>
                  <a:ln/>
                </pic:spPr>
              </pic:pic>
            </a:graphicData>
          </a:graphic>
        </wp:anchor>
      </w:drawing>
    </w:r>
  </w:p>
  <w:p w:rsidR="00000000" w:rsidDel="00000000" w:rsidP="00000000" w:rsidRDefault="00000000" w:rsidRPr="00000000" w14:paraId="00000026">
    <w:pPr>
      <w:pBdr>
        <w:top w:space="0" w:sz="0" w:val="nil"/>
        <w:left w:space="0" w:sz="0" w:val="nil"/>
        <w:bottom w:space="0" w:sz="0" w:val="nil"/>
        <w:right w:space="0" w:sz="0" w:val="nil"/>
        <w:between w:space="0" w:sz="0" w:val="nil"/>
      </w:pBdr>
      <w:tabs>
        <w:tab w:val="center" w:leader="none" w:pos="4819"/>
        <w:tab w:val="right" w:leader="none" w:pos="9638"/>
      </w:tabs>
      <w:rPr>
        <w:rFonts w:ascii="Calibri" w:cs="Calibri" w:eastAsia="Calibri" w:hAnsi="Calibri"/>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20">
      <w:pPr>
        <w:pBdr>
          <w:top w:space="0" w:sz="0" w:val="nil"/>
          <w:left w:space="0" w:sz="0" w:val="nil"/>
          <w:bottom w:space="0" w:sz="0" w:val="nil"/>
          <w:right w:space="0" w:sz="0" w:val="nil"/>
          <w:between w:space="0" w:sz="0" w:val="nil"/>
        </w:pBdr>
        <w:jc w:val="both"/>
        <w:rPr>
          <w:rFonts w:ascii="Titillium Web" w:cs="Titillium Web" w:eastAsia="Titillium Web" w:hAnsi="Titillium Web"/>
          <w:color w:val="000000"/>
          <w:sz w:val="14"/>
          <w:szCs w:val="14"/>
        </w:rPr>
      </w:pPr>
      <w:r w:rsidDel="00000000" w:rsidR="00000000" w:rsidRPr="00000000">
        <w:rPr>
          <w:rStyle w:val="FootnoteReference"/>
          <w:vertAlign w:val="superscript"/>
        </w:rPr>
        <w:footnoteRef/>
      </w:r>
      <w:r w:rsidDel="00000000" w:rsidR="00000000" w:rsidRPr="00000000">
        <w:rPr>
          <w:rFonts w:ascii="Titillium Web" w:cs="Titillium Web" w:eastAsia="Titillium Web" w:hAnsi="Titillium Web"/>
          <w:color w:val="000000"/>
          <w:sz w:val="14"/>
          <w:szCs w:val="14"/>
          <w:rtl w:val="0"/>
        </w:rPr>
        <w:t xml:space="preserve"> Per gli operatori economici italiani o stranieri residenti in Italia, la dichiarazione deve essere sottoscritta da un legale rappresentante ovvero da un procuratore</w:t>
      </w:r>
      <w:r w:rsidDel="00000000" w:rsidR="00000000" w:rsidRPr="00000000">
        <w:rPr>
          <w:rFonts w:ascii="Titillium Web" w:cs="Titillium Web" w:eastAsia="Titillium Web" w:hAnsi="Titillium Web"/>
          <w:color w:val="000000"/>
          <w:sz w:val="14"/>
          <w:szCs w:val="14"/>
          <w:vertAlign w:val="superscript"/>
          <w:rtl w:val="0"/>
        </w:rPr>
        <w:t xml:space="preserve">2</w:t>
      </w:r>
      <w:r w:rsidDel="00000000" w:rsidR="00000000" w:rsidRPr="00000000">
        <w:rPr>
          <w:rFonts w:ascii="Titillium Web" w:cs="Titillium Web" w:eastAsia="Titillium Web" w:hAnsi="Titillium Web"/>
          <w:color w:val="000000"/>
          <w:sz w:val="14"/>
          <w:szCs w:val="14"/>
          <w:rtl w:val="0"/>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1">
    <w:p w:rsidR="00000000" w:rsidDel="00000000" w:rsidP="00000000" w:rsidRDefault="00000000" w:rsidRPr="00000000" w14:paraId="00000021">
      <w:pPr>
        <w:pBdr>
          <w:top w:space="0" w:sz="0" w:val="nil"/>
          <w:left w:space="0" w:sz="0" w:val="nil"/>
          <w:bottom w:space="0" w:sz="0" w:val="nil"/>
          <w:right w:space="0" w:sz="0" w:val="nil"/>
          <w:between w:space="0" w:sz="0" w:val="nil"/>
        </w:pBdr>
        <w:jc w:val="both"/>
        <w:rPr>
          <w:rFonts w:ascii="Titillium Web" w:cs="Titillium Web" w:eastAsia="Titillium Web" w:hAnsi="Titillium Web"/>
          <w:color w:val="000000"/>
        </w:rPr>
      </w:pPr>
      <w:r w:rsidDel="00000000" w:rsidR="00000000" w:rsidRPr="00000000">
        <w:rPr>
          <w:rStyle w:val="FootnoteReference"/>
          <w:vertAlign w:val="superscript"/>
        </w:rPr>
        <w:footnoteRef/>
      </w:r>
      <w:r w:rsidDel="00000000" w:rsidR="00000000" w:rsidRPr="00000000">
        <w:rPr>
          <w:rFonts w:ascii="Calibri" w:cs="Calibri" w:eastAsia="Calibri" w:hAnsi="Calibri"/>
          <w:color w:val="000000"/>
          <w:sz w:val="14"/>
          <w:szCs w:val="14"/>
          <w:rtl w:val="0"/>
        </w:rPr>
        <w:t xml:space="preserve"> </w:t>
      </w:r>
      <w:r w:rsidDel="00000000" w:rsidR="00000000" w:rsidRPr="00000000">
        <w:rPr>
          <w:rFonts w:ascii="Titillium Web" w:cs="Titillium Web" w:eastAsia="Titillium Web" w:hAnsi="Titillium Web"/>
          <w:color w:val="000000"/>
          <w:sz w:val="14"/>
          <w:szCs w:val="14"/>
          <w:rtl w:val="0"/>
        </w:rPr>
        <w:t xml:space="preserve">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center" w:leader="none" w:pos="4819"/>
        <w:tab w:val="right" w:leader="none" w:pos="9638"/>
        <w:tab w:val="right" w:leader="none" w:pos="9864"/>
      </w:tabs>
      <w:ind w:left="-1021" w:right="-1021" w:firstLine="27.00000000000003"/>
      <w:rPr>
        <w:rFonts w:ascii="Calibri" w:cs="Calibri" w:eastAsia="Calibri" w:hAnsi="Calibri"/>
        <w:color w:val="000000"/>
      </w:rPr>
    </w:pPr>
    <w:r w:rsidDel="00000000" w:rsidR="00000000" w:rsidRPr="00000000">
      <w:rPr>
        <w:rFonts w:ascii="Calibri" w:cs="Calibri" w:eastAsia="Calibri" w:hAnsi="Calibri"/>
        <w:color w:val="000000"/>
      </w:rPr>
      <w:drawing>
        <wp:inline distB="0" distT="0" distL="0" distR="0">
          <wp:extent cx="7777812" cy="1003285"/>
          <wp:effectExtent b="0" l="0" r="0" t="0"/>
          <wp:docPr descr="Immagine che contiene testo, schermata, Carattere, Blu elettrico&#10;&#10;Descrizione generata automaticamente" id="2" name="image2.jpg"/>
          <a:graphic>
            <a:graphicData uri="http://schemas.openxmlformats.org/drawingml/2006/picture">
              <pic:pic>
                <pic:nvPicPr>
                  <pic:cNvPr descr="Immagine che contiene testo, schermata, Carattere, Blu elettrico&#10;&#10;Descrizione generata automaticamente" id="0" name="image2.jpg"/>
                  <pic:cNvPicPr preferRelativeResize="0"/>
                </pic:nvPicPr>
                <pic:blipFill>
                  <a:blip r:embed="rId1"/>
                  <a:srcRect b="0" l="0" r="0" t="0"/>
                  <a:stretch>
                    <a:fillRect/>
                  </a:stretch>
                </pic:blipFill>
                <pic:spPr>
                  <a:xfrm>
                    <a:off x="0" y="0"/>
                    <a:ext cx="7777812" cy="1003285"/>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center" w:leader="none" w:pos="4819"/>
        <w:tab w:val="right" w:leader="none" w:pos="9638"/>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708"/>
    </w:pPr>
    <w:rPr>
      <w:rFonts w:ascii="Tahoma" w:cs="Tahoma" w:eastAsia="Tahoma" w:hAnsi="Tahoma"/>
      <w:b w:val="1"/>
      <w:i w:val="1"/>
      <w:color w:val="4472c4"/>
      <w:sz w:val="24"/>
      <w:szCs w:val="24"/>
    </w:rPr>
  </w:style>
  <w:style w:type="paragraph" w:styleId="Heading2">
    <w:name w:val="heading 2"/>
    <w:basedOn w:val="Normal"/>
    <w:next w:val="Normal"/>
    <w:pPr>
      <w:keepNext w:val="1"/>
      <w:spacing w:after="120" w:before="560" w:lineRule="auto"/>
      <w:ind w:left="357" w:hanging="357"/>
      <w:jc w:val="both"/>
    </w:pPr>
    <w:rPr>
      <w:rFonts w:ascii="Tahoma" w:cs="Tahoma" w:eastAsia="Tahoma" w:hAnsi="Tahoma"/>
      <w:b w:val="1"/>
      <w:smallCaps w:val="1"/>
      <w:color w:val="4472c4"/>
    </w:rPr>
  </w:style>
  <w:style w:type="paragraph" w:styleId="Heading3">
    <w:name w:val="heading 3"/>
    <w:basedOn w:val="Normal"/>
    <w:next w:val="Normal"/>
    <w:pPr>
      <w:keepNext w:val="1"/>
      <w:spacing w:after="60" w:before="240" w:lineRule="auto"/>
    </w:pPr>
    <w:rPr>
      <w:rFonts w:ascii="Calibri" w:cs="Calibri" w:eastAsia="Calibri" w:hAnsi="Calibri"/>
      <w:b w:val="1"/>
      <w:sz w:val="26"/>
      <w:szCs w:val="26"/>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pPr>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TitilliumWeb-regular.ttf"/><Relationship Id="rId6" Type="http://schemas.openxmlformats.org/officeDocument/2006/relationships/font" Target="fonts/TitilliumWeb-bold.ttf"/><Relationship Id="rId7" Type="http://schemas.openxmlformats.org/officeDocument/2006/relationships/font" Target="fonts/TitilliumWeb-italic.ttf"/><Relationship Id="rId8" Type="http://schemas.openxmlformats.org/officeDocument/2006/relationships/font" Target="fonts/TitilliumWeb-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