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2B421B8F"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3855D198" w14:textId="15838BBB" w:rsidR="00F3204C" w:rsidRPr="008F6C7A" w:rsidRDefault="00281B9E" w:rsidP="00DE027D">
      <w:pPr>
        <w:jc w:val="both"/>
        <w:rPr>
          <w:rFonts w:cstheme="minorHAnsi"/>
          <w:b/>
          <w:bCs/>
          <w:sz w:val="21"/>
          <w:szCs w:val="21"/>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 xml:space="preserve">INDAGINE ESPLORATIVA DI MERCATO VOLTA A RACCOGLIERE PREVENTIVI INFORMALI FINALIZZATI ALL’AFFIDAMENTO </w:t>
      </w:r>
      <w:r w:rsidR="004A5F3F" w:rsidRPr="004A5F3F">
        <w:rPr>
          <w:rFonts w:cstheme="minorHAnsi"/>
          <w:b/>
          <w:sz w:val="21"/>
          <w:szCs w:val="21"/>
        </w:rPr>
        <w:t xml:space="preserve">DI ANTICORPI E REAGENTI DI BIOLOGIA MOLECOLARE NELL’AMBITO DEL PIANO NAZIONALE RIPRESA E RESILIENZA (PNRR) MISSIONE 4 “ISTRUZIONE E RICERCA” – COMPONENTE C2 “DALLA RICERCA ALL’IMPRESA” - INVESTIMENTO 1.1 “FONDO PER IL PROGRAMMA NAZIONALE DI RICERCA E PROGETTI DI RILEVANTE INTERESSE NAZIONALE (PRIN)” - PROGETTO CODICE </w:t>
      </w:r>
      <w:bookmarkStart w:id="0" w:name="_GoBack"/>
      <w:bookmarkEnd w:id="0"/>
      <w:r w:rsidR="004A5F3F" w:rsidRPr="004A5F3F">
        <w:rPr>
          <w:rFonts w:cstheme="minorHAnsi"/>
          <w:b/>
          <w:sz w:val="21"/>
          <w:szCs w:val="21"/>
        </w:rPr>
        <w:t>IDENTIFICATIVO “P2022Z2JS3” DAL TITOLO “MECHANISMS UNDERLYING THE BENEFICIAL LINK BETWEEN KETOGENIC STATES AND EPILEPSY IN ANIMAL MODELS”, - CUP B53D23033350001</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2283C4FF"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4A5F3F">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4A5F3F">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477D7365" w:rsidR="00621515" w:rsidRDefault="009C6FC8" w:rsidP="004A5F3F">
    <w:pPr>
      <w:pStyle w:val="Intestazione"/>
      <w:tabs>
        <w:tab w:val="clear" w:pos="9638"/>
      </w:tabs>
      <w:ind w:left="-1134"/>
      <w:jc w:val="center"/>
    </w:pPr>
    <w:r>
      <w:rPr>
        <w:noProof/>
        <w:lang w:eastAsia="it-IT"/>
      </w:rPr>
      <w:drawing>
        <wp:anchor distT="0" distB="0" distL="114300" distR="114300" simplePos="0" relativeHeight="251656704" behindDoc="0" locked="0" layoutInCell="1" allowOverlap="1" wp14:anchorId="42240146" wp14:editId="0A0E22E2">
          <wp:simplePos x="0" y="0"/>
          <wp:positionH relativeFrom="margin">
            <wp:posOffset>-710565</wp:posOffset>
          </wp:positionH>
          <wp:positionV relativeFrom="margin">
            <wp:posOffset>-1270000</wp:posOffset>
          </wp:positionV>
          <wp:extent cx="7527269" cy="1084580"/>
          <wp:effectExtent l="0" t="0" r="0" b="127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653" cy="1086653"/>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A5F3F"/>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5487AF-95C7-4856-8F8A-523B49C00DD3}">
  <ds:schemaRefs>
    <ds:schemaRef ds:uri="http://purl.org/dc/term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CA746D02-586A-4CC9-996A-2F4AEC87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502</Words>
  <Characters>2868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HP Inc.</cp:lastModifiedBy>
  <cp:revision>6</cp:revision>
  <cp:lastPrinted>2023-11-10T11:06:00Z</cp:lastPrinted>
  <dcterms:created xsi:type="dcterms:W3CDTF">2023-09-12T12:53:00Z</dcterms:created>
  <dcterms:modified xsi:type="dcterms:W3CDTF">2024-04-18T12:12:00Z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