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 xml:space="preserve">Al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Consiglio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Nazionale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delle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Ricerche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 -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Istituto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IAS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proofErr w:type="spellStart"/>
      <w:r w:rsidRPr="00627808">
        <w:rPr>
          <w:rFonts w:cstheme="minorHAnsi"/>
          <w:i/>
          <w:sz w:val="20"/>
          <w:szCs w:val="20"/>
          <w:lang w:val="en-US"/>
        </w:rPr>
        <w:t>Sede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Secondaria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di  Genova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>Via De Marini 6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>16149 Genova</w:t>
      </w:r>
    </w:p>
    <w:p w:rsidR="00627808" w:rsidRPr="0011520A" w:rsidRDefault="00627808" w:rsidP="00627808">
      <w:pPr>
        <w:widowControl w:val="0"/>
        <w:tabs>
          <w:tab w:val="left" w:pos="2947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highlight w:val="yellow"/>
        </w:rPr>
      </w:pPr>
    </w:p>
    <w:p w:rsidR="00627808" w:rsidRPr="0011520A" w:rsidRDefault="00627808" w:rsidP="00627808">
      <w:pPr>
        <w:widowControl w:val="0"/>
        <w:tabs>
          <w:tab w:val="left" w:pos="2947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</w:rPr>
      </w:pPr>
      <w:r w:rsidRPr="0011520A">
        <w:rPr>
          <w:rFonts w:eastAsia="Times New Roman" w:cs="Calibri"/>
          <w:b/>
          <w:sz w:val="20"/>
          <w:szCs w:val="20"/>
        </w:rPr>
        <w:t xml:space="preserve">OGGETTO: </w:t>
      </w:r>
      <w:r w:rsidR="0011520A" w:rsidRPr="0011520A">
        <w:rPr>
          <w:rFonts w:eastAsia="Times New Roman" w:cs="Calibri"/>
          <w:b/>
          <w:sz w:val="20"/>
          <w:szCs w:val="20"/>
        </w:rPr>
        <w:t>INDAGINE ESPLORATIVA DI MERCATO VOLTA A RACCOGLIERE PREVENTIVI FINALIZZATI ALL’AFFIDAMENTO DEL SERVIZIO DI “MANUTENZIONE DISPOSITIVI ESTINGUENTI SECONDO NORMATIVE VIGENTI” PRESSO LA SEDE CNR-IAS DI GENOVA</w:t>
      </w:r>
    </w:p>
    <w:p w:rsidR="00627808" w:rsidRPr="00627808" w:rsidRDefault="00627808" w:rsidP="00627808">
      <w:pPr>
        <w:widowControl w:val="0"/>
        <w:spacing w:after="0" w:line="240" w:lineRule="auto"/>
        <w:ind w:right="1"/>
        <w:jc w:val="both"/>
        <w:rPr>
          <w:rFonts w:eastAsia="Arial" w:cstheme="minorHAnsi"/>
          <w:b/>
          <w:sz w:val="20"/>
          <w:szCs w:val="20"/>
          <w:lang w:eastAsia="it-IT"/>
        </w:rPr>
      </w:pPr>
      <w:bookmarkStart w:id="0" w:name="_GoBack"/>
      <w:bookmarkEnd w:id="0"/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>DICHIARAZIONE SOSTITUTIVA DELL’ATTO DI NOTORIETA’</w:t>
      </w:r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>(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sensi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D.P.R. 28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dicembre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2000, n. 445)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Il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sottoscritto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___________________,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il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codice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fiscale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_____________________ e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residente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__________________ in Via ______________________________,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qualità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rappresentante</w:t>
      </w:r>
      <w:proofErr w:type="spellEnd"/>
      <w:r w:rsidRPr="00627808">
        <w:rPr>
          <w:rFonts w:cstheme="minorHAnsi"/>
          <w:sz w:val="20"/>
          <w:szCs w:val="20"/>
          <w:lang w:val="en-US"/>
        </w:rPr>
        <w:t>/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procuratore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_____________________ con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sede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in Via ____________________ CAP ___________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Citta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̀ _________ (Prov. ________), partita Iva 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codice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fiscale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telefono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 PEC: ________________, mail: ____________________________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27808">
        <w:rPr>
          <w:rFonts w:cstheme="minorHAnsi"/>
          <w:sz w:val="20"/>
          <w:szCs w:val="20"/>
          <w:lang w:val="en-US"/>
        </w:rPr>
        <w:t>Pienamente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consapevole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responsabilità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penale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cui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incontro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sensi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per </w:t>
      </w:r>
      <w:proofErr w:type="spellStart"/>
      <w:r w:rsidRPr="00627808">
        <w:rPr>
          <w:rFonts w:cstheme="minorHAnsi"/>
          <w:sz w:val="20"/>
          <w:szCs w:val="20"/>
          <w:lang w:val="en-US"/>
        </w:rPr>
        <w:t>gli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effetti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dell’art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. 76 D.P.R. 28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dicembre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2000, n. 445,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caso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dichiarazioni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mendaci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o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formazione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esibizione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o </w:t>
      </w:r>
      <w:proofErr w:type="spellStart"/>
      <w:r w:rsidRPr="00627808">
        <w:rPr>
          <w:rFonts w:cstheme="minorHAnsi"/>
          <w:sz w:val="20"/>
          <w:szCs w:val="20"/>
          <w:lang w:val="en-US"/>
        </w:rPr>
        <w:t>uso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falsi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ovvero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contenenti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non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più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rispondenti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verità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627808">
        <w:rPr>
          <w:rFonts w:cstheme="minorHAnsi"/>
          <w:b/>
          <w:bCs/>
          <w:sz w:val="20"/>
          <w:szCs w:val="20"/>
          <w:lang w:val="en-US"/>
        </w:rPr>
        <w:t>DICHIARA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possesso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requisiti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cui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all’avviso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indagine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mercato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e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nello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specifico</w:t>
      </w:r>
      <w:proofErr w:type="spellEnd"/>
      <w:r w:rsidRPr="00627808">
        <w:rPr>
          <w:rFonts w:cstheme="minorHAnsi"/>
          <w:sz w:val="20"/>
          <w:szCs w:val="20"/>
          <w:lang w:val="en-US"/>
        </w:rPr>
        <w:t>:</w:t>
      </w:r>
    </w:p>
    <w:p w:rsidR="00627808" w:rsidRPr="00627808" w:rsidRDefault="00627808" w:rsidP="00627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  <w:sz w:val="20"/>
          <w:szCs w:val="20"/>
        </w:rPr>
      </w:pPr>
      <w:r w:rsidRPr="00627808">
        <w:rPr>
          <w:rFonts w:ascii="Calibri" w:hAnsi="Calibri" w:cs="Calibri"/>
          <w:color w:val="000000"/>
          <w:sz w:val="20"/>
          <w:szCs w:val="20"/>
        </w:rPr>
        <w:t xml:space="preserve">requisiti di ordine generale di cui al Capo II, Titolo IV del D.lgs. 36/2023; </w:t>
      </w:r>
    </w:p>
    <w:p w:rsidR="00627808" w:rsidRPr="00627808" w:rsidRDefault="00627808" w:rsidP="00627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27808">
        <w:rPr>
          <w:rFonts w:ascii="Calibri" w:hAnsi="Calibri" w:cs="Calibri"/>
          <w:color w:val="000000"/>
          <w:sz w:val="20"/>
          <w:szCs w:val="20"/>
        </w:rPr>
        <w:t>requisiti</w:t>
      </w:r>
      <w:r w:rsidRPr="0062780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27808">
        <w:rPr>
          <w:rFonts w:ascii="Calibri" w:hAnsi="Calibri" w:cs="Calibri"/>
          <w:color w:val="000000"/>
          <w:sz w:val="20"/>
          <w:szCs w:val="20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627808">
        <w:rPr>
          <w:rFonts w:ascii="Calibri" w:hAnsi="Calibri" w:cstheme="minorHAnsi"/>
          <w:color w:val="000000"/>
          <w:sz w:val="20"/>
          <w:szCs w:val="20"/>
        </w:rPr>
        <w:t>di essere iscritto in uno dei registri professionali o commerciali di cui all’allegato II.11 del D.lgs. 36/2023</w:t>
      </w:r>
      <w:r w:rsidRPr="00627808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627808" w:rsidRPr="00627808" w:rsidRDefault="00627808" w:rsidP="0062780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627808">
        <w:rPr>
          <w:rFonts w:cstheme="minorHAnsi"/>
          <w:i/>
          <w:iCs/>
          <w:sz w:val="20"/>
          <w:szCs w:val="20"/>
          <w:lang w:val="en-US"/>
        </w:rPr>
        <w:t xml:space="preserve"> (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nel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caso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operatori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economici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residenti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in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Paesi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terzi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firmatari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dell'AAP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o di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altri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accordi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internazionali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di cui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all'art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. 69 del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D.Lgs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36/2023)</w:t>
      </w:r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in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uno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dei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registri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professionali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e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commerciali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istituiti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nel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Paese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in cui è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residente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>;</w:t>
      </w:r>
    </w:p>
    <w:p w:rsidR="00627808" w:rsidRPr="00627808" w:rsidRDefault="00627808" w:rsidP="006278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27808">
        <w:rPr>
          <w:rFonts w:cstheme="minorHAnsi"/>
          <w:color w:val="000000"/>
          <w:sz w:val="20"/>
          <w:szCs w:val="20"/>
        </w:rPr>
        <w:t>Possesso di pregresse e documentate esperienze idonee all’esecuzione delle prestazioni contrattuali anche se non coincidenti con quelle oggetto dell’appalto.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Il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sottoscritto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inoltre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informato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che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conformità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normativa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vigente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particolare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Regolamento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GDPR 2016/679,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personali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raccolti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saranno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trattati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anche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con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strumenti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informatici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esclusivamente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nell’ambito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del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procedimento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per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il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quale la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presente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viene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.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27808">
        <w:rPr>
          <w:rFonts w:cstheme="minorHAnsi"/>
          <w:sz w:val="20"/>
          <w:szCs w:val="20"/>
          <w:lang w:val="en-US"/>
        </w:rPr>
        <w:lastRenderedPageBreak/>
        <w:t>Luogo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data, _________________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ind w:left="4962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Firma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digitale</w:t>
      </w:r>
      <w:proofErr w:type="spellEnd"/>
      <w:r w:rsidRPr="00627808">
        <w:rPr>
          <w:rFonts w:cstheme="minorHAnsi"/>
          <w:sz w:val="20"/>
          <w:szCs w:val="20"/>
          <w:vertAlign w:val="superscript"/>
          <w:lang w:val="en-US"/>
        </w:rPr>
        <w:footnoteReference w:id="1"/>
      </w:r>
      <w:r w:rsidRPr="00627808">
        <w:rPr>
          <w:rFonts w:cstheme="minorHAnsi"/>
          <w:sz w:val="20"/>
          <w:szCs w:val="20"/>
          <w:lang w:val="en-US"/>
        </w:rPr>
        <w:t xml:space="preserve"> del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rappresentante</w:t>
      </w:r>
      <w:proofErr w:type="spellEnd"/>
      <w:r w:rsidRPr="00627808">
        <w:rPr>
          <w:rFonts w:cstheme="minorHAnsi"/>
          <w:sz w:val="20"/>
          <w:szCs w:val="20"/>
          <w:lang w:val="en-US"/>
        </w:rPr>
        <w:t>/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procuratore</w:t>
      </w:r>
      <w:bookmarkStart w:id="1" w:name="_Ref41906052"/>
      <w:proofErr w:type="spellEnd"/>
      <w:r w:rsidRPr="00627808">
        <w:rPr>
          <w:rFonts w:cstheme="minorHAnsi"/>
          <w:sz w:val="20"/>
          <w:szCs w:val="20"/>
          <w:vertAlign w:val="superscript"/>
          <w:lang w:val="en-US"/>
        </w:rPr>
        <w:footnoteReference w:id="2"/>
      </w:r>
      <w:bookmarkEnd w:id="1"/>
    </w:p>
    <w:p w:rsidR="00D55A63" w:rsidRDefault="00D55A63"/>
    <w:sectPr w:rsidR="00D55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E8" w:rsidRDefault="00D561E8" w:rsidP="00627808">
      <w:pPr>
        <w:spacing w:after="0" w:line="240" w:lineRule="auto"/>
      </w:pPr>
      <w:r>
        <w:separator/>
      </w:r>
    </w:p>
  </w:endnote>
  <w:endnote w:type="continuationSeparator" w:id="0">
    <w:p w:rsidR="00D561E8" w:rsidRDefault="00D561E8" w:rsidP="0062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E8" w:rsidRDefault="00D561E8" w:rsidP="00627808">
      <w:pPr>
        <w:spacing w:after="0" w:line="240" w:lineRule="auto"/>
      </w:pPr>
      <w:r>
        <w:separator/>
      </w:r>
    </w:p>
  </w:footnote>
  <w:footnote w:type="continuationSeparator" w:id="0">
    <w:p w:rsidR="00D561E8" w:rsidRDefault="00D561E8" w:rsidP="00627808">
      <w:pPr>
        <w:spacing w:after="0" w:line="240" w:lineRule="auto"/>
      </w:pPr>
      <w:r>
        <w:continuationSeparator/>
      </w:r>
    </w:p>
  </w:footnote>
  <w:footnote w:id="1">
    <w:p w:rsidR="00627808" w:rsidRPr="008F6C7A" w:rsidRDefault="00627808" w:rsidP="00627808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:rsidR="00627808" w:rsidRPr="008F6C7A" w:rsidRDefault="00627808" w:rsidP="00627808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08"/>
    <w:rsid w:val="0011520A"/>
    <w:rsid w:val="00627808"/>
    <w:rsid w:val="00D55A63"/>
    <w:rsid w:val="00D5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E394-CDDD-495A-ABC4-AE85AC9C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2780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7808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27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Trucco</dc:creator>
  <cp:keywords/>
  <dc:description/>
  <cp:lastModifiedBy>silvia trucco</cp:lastModifiedBy>
  <cp:revision>2</cp:revision>
  <dcterms:created xsi:type="dcterms:W3CDTF">2024-04-03T11:19:00Z</dcterms:created>
  <dcterms:modified xsi:type="dcterms:W3CDTF">2024-04-03T11:19:00Z</dcterms:modified>
</cp:coreProperties>
</file>