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7945" w14:textId="77777777" w:rsidR="002B000D" w:rsidRDefault="002B000D" w:rsidP="002B000D">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p>
    <w:p w14:paraId="727CF540" w14:textId="77777777" w:rsidR="002B000D" w:rsidRDefault="002B000D" w:rsidP="002B000D">
      <w:pPr>
        <w:pStyle w:val="Intestazione"/>
        <w:tabs>
          <w:tab w:val="left" w:pos="5245"/>
          <w:tab w:val="left" w:pos="5387"/>
        </w:tabs>
        <w:ind w:right="27"/>
        <w:jc w:val="center"/>
        <w:rPr>
          <w:rFonts w:cstheme="minorHAnsi"/>
          <w:i/>
          <w:sz w:val="21"/>
          <w:szCs w:val="21"/>
        </w:rPr>
      </w:pPr>
    </w:p>
    <w:p w14:paraId="3CFC88FD" w14:textId="77777777" w:rsidR="002B000D" w:rsidRDefault="002B000D" w:rsidP="002B000D">
      <w:pPr>
        <w:pStyle w:val="Intestazione"/>
        <w:tabs>
          <w:tab w:val="left" w:pos="5245"/>
          <w:tab w:val="left" w:pos="5387"/>
        </w:tabs>
        <w:ind w:right="27"/>
        <w:jc w:val="center"/>
        <w:rPr>
          <w:rFonts w:cstheme="minorHAnsi"/>
          <w:i/>
          <w:sz w:val="21"/>
          <w:szCs w:val="21"/>
        </w:rPr>
      </w:pPr>
    </w:p>
    <w:p w14:paraId="4F8BDE4F" w14:textId="77777777" w:rsidR="002B000D" w:rsidRDefault="002B000D" w:rsidP="002B000D">
      <w:pPr>
        <w:pStyle w:val="Intestazione"/>
        <w:tabs>
          <w:tab w:val="left" w:pos="5245"/>
          <w:tab w:val="left" w:pos="5387"/>
        </w:tabs>
        <w:ind w:right="27"/>
        <w:jc w:val="center"/>
        <w:rPr>
          <w:rFonts w:cstheme="minorHAnsi"/>
          <w:i/>
          <w:sz w:val="21"/>
          <w:szCs w:val="21"/>
        </w:rPr>
      </w:pPr>
    </w:p>
    <w:p w14:paraId="52A72173" w14:textId="3F20272E" w:rsidR="002B000D" w:rsidRPr="008F6C7A" w:rsidRDefault="002B000D" w:rsidP="002B000D">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70BB0F77" w14:textId="77777777" w:rsidR="002B000D" w:rsidRPr="008F6C7A" w:rsidRDefault="002B000D" w:rsidP="002B000D">
      <w:pPr>
        <w:jc w:val="both"/>
        <w:rPr>
          <w:rFonts w:cstheme="minorHAnsi"/>
          <w:sz w:val="21"/>
          <w:szCs w:val="21"/>
        </w:rPr>
      </w:pPr>
    </w:p>
    <w:p w14:paraId="534D4E80" w14:textId="77777777" w:rsidR="002B000D" w:rsidRPr="008F6C7A" w:rsidRDefault="002B000D" w:rsidP="002B000D">
      <w:pPr>
        <w:jc w:val="both"/>
        <w:rPr>
          <w:b/>
          <w:bCs/>
          <w:sz w:val="21"/>
          <w:szCs w:val="21"/>
        </w:rPr>
      </w:pPr>
      <w:r w:rsidRPr="7B4E4830">
        <w:rPr>
          <w:rFonts w:cstheme="minorBidi"/>
          <w:b/>
          <w:bCs/>
          <w:sz w:val="21"/>
          <w:szCs w:val="21"/>
        </w:rPr>
        <w:t>OGGETTO</w:t>
      </w:r>
      <w:r w:rsidRPr="7B4E4830">
        <w:rPr>
          <w:rFonts w:cstheme="minorBidi"/>
          <w:sz w:val="21"/>
          <w:szCs w:val="21"/>
        </w:rPr>
        <w:t xml:space="preserve">: </w:t>
      </w:r>
      <w:r w:rsidRPr="7B4E4830">
        <w:rPr>
          <w:rFonts w:cstheme="minorBidi"/>
          <w:b/>
          <w:bCs/>
          <w:sz w:val="21"/>
          <w:szCs w:val="21"/>
        </w:rPr>
        <w:t xml:space="preserve">INDAGINE ESPLORATIVA DI MERCATO VOLTA A RACCOGLIERE PREVENTIVI INFORMALI FINALIZZATI ALL’AFFIDAMENTO DI </w:t>
      </w:r>
      <w:r w:rsidRPr="7B4E4830">
        <w:rPr>
          <w:rFonts w:eastAsia="Calibri" w:cstheme="minorBidi"/>
          <w:b/>
          <w:bCs/>
          <w:i/>
          <w:iCs/>
          <w:sz w:val="20"/>
          <w:szCs w:val="20"/>
        </w:rPr>
        <w:t>[</w:t>
      </w:r>
      <w:r w:rsidRPr="7B4E4830">
        <w:rPr>
          <w:rFonts w:eastAsia="Calibri" w:cstheme="minorBidi"/>
          <w:b/>
          <w:bCs/>
          <w:i/>
          <w:iCs/>
          <w:sz w:val="20"/>
          <w:szCs w:val="20"/>
          <w:highlight w:val="yellow"/>
        </w:rPr>
        <w:t>completare</w:t>
      </w:r>
      <w:r w:rsidRPr="7B4E4830">
        <w:rPr>
          <w:rFonts w:eastAsia="Calibri" w:cstheme="minorBidi"/>
          <w:b/>
          <w:bCs/>
          <w:i/>
          <w:iCs/>
          <w:sz w:val="20"/>
          <w:szCs w:val="20"/>
        </w:rPr>
        <w:t>]</w:t>
      </w:r>
      <w:r w:rsidRPr="7B4E4830">
        <w:rPr>
          <w:rFonts w:eastAsia="Calibri" w:cstheme="minorBidi"/>
          <w:i/>
          <w:iCs/>
          <w:sz w:val="20"/>
          <w:szCs w:val="20"/>
        </w:rPr>
        <w:t xml:space="preserve"> </w:t>
      </w:r>
      <w:r w:rsidRPr="7B4E4830">
        <w:rPr>
          <w:rFonts w:cstheme="minorBidi"/>
          <w:b/>
          <w:bCs/>
          <w:sz w:val="21"/>
          <w:szCs w:val="21"/>
        </w:rPr>
        <w:t xml:space="preserve">CUP </w:t>
      </w:r>
      <w:r w:rsidRPr="7B4E4830">
        <w:rPr>
          <w:rFonts w:eastAsia="Calibri" w:cstheme="minorBidi"/>
          <w:b/>
          <w:bCs/>
          <w:i/>
          <w:iCs/>
          <w:sz w:val="20"/>
          <w:szCs w:val="20"/>
        </w:rPr>
        <w:t>[</w:t>
      </w:r>
      <w:r w:rsidRPr="7B4E4830">
        <w:rPr>
          <w:rFonts w:eastAsia="Calibri" w:cstheme="minorBidi"/>
          <w:b/>
          <w:bCs/>
          <w:i/>
          <w:iCs/>
          <w:sz w:val="20"/>
          <w:szCs w:val="20"/>
          <w:highlight w:val="yellow"/>
        </w:rPr>
        <w:t>completare</w:t>
      </w:r>
      <w:r w:rsidRPr="7B4E4830">
        <w:rPr>
          <w:rFonts w:eastAsia="Calibri" w:cstheme="minorBidi"/>
          <w:b/>
          <w:bCs/>
          <w:i/>
          <w:iCs/>
          <w:sz w:val="20"/>
          <w:szCs w:val="20"/>
        </w:rPr>
        <w:t>]</w:t>
      </w:r>
    </w:p>
    <w:p w14:paraId="57C97185" w14:textId="77777777" w:rsidR="002B000D" w:rsidRPr="00DE027D" w:rsidRDefault="002B000D" w:rsidP="002B000D">
      <w:pPr>
        <w:jc w:val="both"/>
        <w:rPr>
          <w:rFonts w:cstheme="minorHAnsi"/>
          <w:sz w:val="22"/>
          <w:szCs w:val="22"/>
        </w:rPr>
      </w:pPr>
    </w:p>
    <w:p w14:paraId="6614E02B" w14:textId="77777777" w:rsidR="002B000D" w:rsidRPr="00281B9E" w:rsidRDefault="002B000D" w:rsidP="002B000D">
      <w:pPr>
        <w:jc w:val="center"/>
        <w:rPr>
          <w:rFonts w:cstheme="minorHAnsi"/>
          <w:sz w:val="22"/>
          <w:szCs w:val="22"/>
        </w:rPr>
      </w:pPr>
      <w:r w:rsidRPr="00281B9E">
        <w:rPr>
          <w:rFonts w:cstheme="minorHAnsi"/>
          <w:sz w:val="22"/>
          <w:szCs w:val="22"/>
        </w:rPr>
        <w:t>DICHIARAZIONE SOSTITUTIVA DELL’ATTO DI NOTORIETA’</w:t>
      </w:r>
    </w:p>
    <w:p w14:paraId="49E8BE31" w14:textId="77777777" w:rsidR="002B000D" w:rsidRPr="00281B9E" w:rsidRDefault="002B000D" w:rsidP="002B000D">
      <w:pPr>
        <w:jc w:val="center"/>
        <w:rPr>
          <w:rFonts w:cstheme="minorHAnsi"/>
          <w:sz w:val="22"/>
          <w:szCs w:val="22"/>
        </w:rPr>
      </w:pPr>
      <w:r w:rsidRPr="00281B9E">
        <w:rPr>
          <w:rFonts w:cstheme="minorHAnsi"/>
          <w:sz w:val="22"/>
          <w:szCs w:val="22"/>
        </w:rPr>
        <w:t>(resa ai sensi D.P.R. 28 dicembre 2000, n. 445)</w:t>
      </w:r>
    </w:p>
    <w:p w14:paraId="00D53F36" w14:textId="77777777" w:rsidR="002B000D" w:rsidRPr="00281B9E" w:rsidRDefault="002B000D" w:rsidP="002B000D">
      <w:pPr>
        <w:jc w:val="both"/>
        <w:rPr>
          <w:rFonts w:cstheme="minorHAnsi"/>
          <w:sz w:val="22"/>
          <w:szCs w:val="22"/>
        </w:rPr>
      </w:pPr>
    </w:p>
    <w:p w14:paraId="0FE6B331" w14:textId="77777777" w:rsidR="002B000D" w:rsidRPr="008F6C7A" w:rsidRDefault="002B000D" w:rsidP="002B000D">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075179A" w14:textId="77777777" w:rsidR="002B000D" w:rsidRPr="008F6C7A" w:rsidRDefault="002B000D" w:rsidP="002B000D">
      <w:pPr>
        <w:jc w:val="both"/>
        <w:rPr>
          <w:rFonts w:cstheme="minorHAnsi"/>
          <w:sz w:val="21"/>
          <w:szCs w:val="21"/>
        </w:rPr>
      </w:pPr>
    </w:p>
    <w:p w14:paraId="471721C9" w14:textId="77777777" w:rsidR="002B000D" w:rsidRPr="008F6C7A" w:rsidRDefault="002B000D" w:rsidP="002B000D">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D77EC01" w14:textId="77777777" w:rsidR="002B000D" w:rsidRPr="008F6C7A" w:rsidRDefault="002B000D" w:rsidP="002B000D">
      <w:pPr>
        <w:jc w:val="both"/>
        <w:rPr>
          <w:rFonts w:cstheme="minorHAnsi"/>
          <w:sz w:val="21"/>
          <w:szCs w:val="21"/>
        </w:rPr>
      </w:pPr>
    </w:p>
    <w:p w14:paraId="5CA5CB90" w14:textId="77777777" w:rsidR="002B000D" w:rsidRPr="008F6C7A" w:rsidRDefault="002B000D" w:rsidP="002B000D">
      <w:pPr>
        <w:jc w:val="center"/>
        <w:rPr>
          <w:rFonts w:cstheme="minorHAnsi"/>
          <w:b/>
          <w:bCs/>
          <w:sz w:val="21"/>
          <w:szCs w:val="21"/>
        </w:rPr>
      </w:pPr>
      <w:r w:rsidRPr="008F6C7A">
        <w:rPr>
          <w:rFonts w:cstheme="minorHAnsi"/>
          <w:b/>
          <w:bCs/>
          <w:sz w:val="21"/>
          <w:szCs w:val="21"/>
        </w:rPr>
        <w:t>DICHIARA</w:t>
      </w:r>
    </w:p>
    <w:p w14:paraId="5F7F2E0D" w14:textId="77777777" w:rsidR="002B000D" w:rsidRPr="008F6C7A" w:rsidRDefault="002B000D" w:rsidP="002B000D">
      <w:pPr>
        <w:jc w:val="both"/>
        <w:rPr>
          <w:rFonts w:cstheme="minorHAnsi"/>
          <w:sz w:val="21"/>
          <w:szCs w:val="21"/>
        </w:rPr>
      </w:pPr>
    </w:p>
    <w:p w14:paraId="2D16814A" w14:textId="77777777" w:rsidR="002B000D" w:rsidRPr="008F6C7A" w:rsidRDefault="002B000D" w:rsidP="002B000D">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536AC22F" w14:textId="77777777" w:rsidR="002B000D" w:rsidRPr="008F6C7A" w:rsidRDefault="002B000D" w:rsidP="002B000D">
      <w:pPr>
        <w:pStyle w:val="Default"/>
        <w:numPr>
          <w:ilvl w:val="0"/>
          <w:numId w:val="5"/>
        </w:numPr>
        <w:spacing w:after="18"/>
        <w:rPr>
          <w:sz w:val="21"/>
          <w:szCs w:val="21"/>
        </w:rPr>
      </w:pPr>
      <w:r w:rsidRPr="008F6C7A">
        <w:rPr>
          <w:sz w:val="21"/>
          <w:szCs w:val="21"/>
        </w:rPr>
        <w:t xml:space="preserve">requisiti di ordine generale di cui al Capo II, Titolo IV del D.lgs. 36/2023; </w:t>
      </w:r>
    </w:p>
    <w:p w14:paraId="41A857CC" w14:textId="77777777" w:rsidR="002B000D" w:rsidRPr="008F6C7A" w:rsidRDefault="002B000D" w:rsidP="002B000D">
      <w:pPr>
        <w:pStyle w:val="Default"/>
        <w:numPr>
          <w:ilvl w:val="0"/>
          <w:numId w:val="5"/>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23CF4F6" w14:textId="77777777" w:rsidR="002B000D" w:rsidRPr="008F6C7A" w:rsidRDefault="002B000D" w:rsidP="002B000D">
      <w:pPr>
        <w:pStyle w:val="Paragrafoelenco"/>
        <w:numPr>
          <w:ilvl w:val="0"/>
          <w:numId w:val="4"/>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278E88FD" w14:textId="77777777" w:rsidR="002B000D" w:rsidRPr="008F6C7A" w:rsidRDefault="002B000D" w:rsidP="002B000D">
      <w:pPr>
        <w:pStyle w:val="Default"/>
        <w:numPr>
          <w:ilvl w:val="0"/>
          <w:numId w:val="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22A230F" w14:textId="77777777" w:rsidR="002B000D" w:rsidRPr="008F6C7A" w:rsidRDefault="002B000D" w:rsidP="002B000D">
      <w:pPr>
        <w:jc w:val="both"/>
        <w:rPr>
          <w:rFonts w:cstheme="minorHAnsi"/>
          <w:sz w:val="21"/>
          <w:szCs w:val="21"/>
        </w:rPr>
      </w:pPr>
    </w:p>
    <w:p w14:paraId="458FC56C" w14:textId="77777777" w:rsidR="002B000D" w:rsidRPr="008F6C7A" w:rsidRDefault="002B000D" w:rsidP="002B000D">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795AB4F" w14:textId="77777777" w:rsidR="002B000D" w:rsidRPr="008F6C7A" w:rsidRDefault="002B000D" w:rsidP="002B000D">
      <w:pPr>
        <w:jc w:val="both"/>
        <w:rPr>
          <w:rFonts w:cstheme="minorHAnsi"/>
          <w:sz w:val="21"/>
          <w:szCs w:val="21"/>
        </w:rPr>
      </w:pPr>
    </w:p>
    <w:p w14:paraId="03D9BED5" w14:textId="77777777" w:rsidR="002B000D" w:rsidRPr="008F6C7A" w:rsidRDefault="002B000D" w:rsidP="002B000D">
      <w:pPr>
        <w:jc w:val="both"/>
        <w:rPr>
          <w:rFonts w:cstheme="minorHAnsi"/>
          <w:sz w:val="21"/>
          <w:szCs w:val="21"/>
        </w:rPr>
      </w:pPr>
    </w:p>
    <w:p w14:paraId="537AAFA5" w14:textId="77777777" w:rsidR="002B000D" w:rsidRPr="008F6C7A" w:rsidRDefault="002B000D" w:rsidP="002B000D">
      <w:pPr>
        <w:jc w:val="both"/>
        <w:rPr>
          <w:rFonts w:cstheme="minorHAnsi"/>
          <w:sz w:val="21"/>
          <w:szCs w:val="21"/>
        </w:rPr>
      </w:pPr>
      <w:r w:rsidRPr="008F6C7A">
        <w:rPr>
          <w:rFonts w:cstheme="minorHAnsi"/>
          <w:sz w:val="21"/>
          <w:szCs w:val="21"/>
        </w:rPr>
        <w:t xml:space="preserve">Luogo e data, _________________ </w:t>
      </w:r>
    </w:p>
    <w:p w14:paraId="24B1249C" w14:textId="77777777" w:rsidR="002B000D" w:rsidRPr="008F6C7A" w:rsidRDefault="002B000D" w:rsidP="002B000D">
      <w:pPr>
        <w:jc w:val="both"/>
        <w:rPr>
          <w:rFonts w:cstheme="minorHAnsi"/>
          <w:sz w:val="21"/>
          <w:szCs w:val="21"/>
        </w:rPr>
      </w:pPr>
    </w:p>
    <w:p w14:paraId="3AD63C14" w14:textId="77777777" w:rsidR="002B000D" w:rsidRPr="008F6C7A" w:rsidRDefault="002B000D" w:rsidP="002B000D">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70A278CC" w14:textId="77777777" w:rsidR="003B73F3" w:rsidRDefault="003B73F3" w:rsidP="00020795">
      <w:pPr>
        <w:pStyle w:val="NormaleWeb"/>
        <w:spacing w:after="0" w:afterAutospacing="0"/>
        <w:ind w:left="142" w:right="282"/>
        <w:jc w:val="right"/>
        <w:rPr>
          <w:rFonts w:ascii="TimesNewRomanPSMT" w:hAnsi="TimesNewRomanPSMT"/>
        </w:rPr>
      </w:pPr>
    </w:p>
    <w:sectPr w:rsidR="003B73F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C9A3" w14:textId="77777777" w:rsidR="00C555A1" w:rsidRDefault="00C555A1" w:rsidP="004B48E3">
      <w:r>
        <w:separator/>
      </w:r>
    </w:p>
  </w:endnote>
  <w:endnote w:type="continuationSeparator" w:id="0">
    <w:p w14:paraId="22A52862" w14:textId="77777777" w:rsidR="00C555A1" w:rsidRDefault="00C555A1" w:rsidP="004B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sans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85B9" w14:textId="77777777" w:rsidR="0092391B" w:rsidRDefault="009239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5991" w14:textId="77777777" w:rsidR="004B48E3" w:rsidRPr="002D42D1" w:rsidRDefault="004B48E3" w:rsidP="004B48E3">
    <w:pPr>
      <w:pBdr>
        <w:top w:val="single" w:sz="4" w:space="1" w:color="auto"/>
      </w:pBdr>
      <w:tabs>
        <w:tab w:val="center" w:pos="4819"/>
        <w:tab w:val="right" w:pos="9638"/>
      </w:tabs>
      <w:jc w:val="center"/>
      <w:rPr>
        <w:rFonts w:ascii="Cambria" w:hAnsi="Cambria"/>
        <w:sz w:val="20"/>
      </w:rPr>
    </w:pPr>
    <w:r w:rsidRPr="002D42D1">
      <w:rPr>
        <w:rFonts w:ascii="Cambria" w:hAnsi="Cambria"/>
        <w:sz w:val="20"/>
      </w:rPr>
      <w:t xml:space="preserve">CNR – ISAFOM </w:t>
    </w:r>
  </w:p>
  <w:p w14:paraId="1726E46C" w14:textId="77777777" w:rsidR="004B48E3" w:rsidRDefault="004B48E3" w:rsidP="004B48E3">
    <w:pPr>
      <w:tabs>
        <w:tab w:val="center" w:pos="4819"/>
        <w:tab w:val="right" w:pos="9638"/>
      </w:tabs>
      <w:jc w:val="center"/>
      <w:rPr>
        <w:rFonts w:ascii="Cambria" w:hAnsi="Cambria"/>
        <w:sz w:val="20"/>
      </w:rPr>
    </w:pPr>
    <w:r w:rsidRPr="002D42D1">
      <w:rPr>
        <w:rFonts w:ascii="Cambria" w:hAnsi="Cambria"/>
        <w:sz w:val="20"/>
      </w:rPr>
      <w:t xml:space="preserve">Sede Centrale/Headquarter: Piazzale E. Fermi 1 - 80055 Portici (NA) – Italy; </w:t>
    </w:r>
  </w:p>
  <w:p w14:paraId="4A15C76B" w14:textId="77777777" w:rsidR="004B48E3" w:rsidRDefault="004B48E3" w:rsidP="004B48E3">
    <w:pPr>
      <w:tabs>
        <w:tab w:val="center" w:pos="4819"/>
        <w:tab w:val="right" w:pos="9638"/>
      </w:tabs>
      <w:jc w:val="center"/>
      <w:rPr>
        <w:rFonts w:ascii="Cambria" w:hAnsi="Cambria"/>
        <w:sz w:val="20"/>
      </w:rPr>
    </w:pPr>
    <w:r w:rsidRPr="002D42D1">
      <w:rPr>
        <w:rFonts w:ascii="Cambria" w:hAnsi="Cambria"/>
        <w:sz w:val="20"/>
      </w:rPr>
      <w:t>Sedi Sec</w:t>
    </w:r>
    <w:r>
      <w:rPr>
        <w:rFonts w:ascii="Cambria" w:hAnsi="Cambria"/>
        <w:sz w:val="20"/>
      </w:rPr>
      <w:t>ondarie</w:t>
    </w:r>
    <w:r w:rsidRPr="002D42D1">
      <w:rPr>
        <w:rFonts w:ascii="Cambria" w:hAnsi="Cambria"/>
        <w:sz w:val="20"/>
      </w:rPr>
      <w:t xml:space="preserve">/ </w:t>
    </w:r>
    <w:proofErr w:type="spellStart"/>
    <w:r w:rsidRPr="002D42D1">
      <w:rPr>
        <w:rFonts w:ascii="Cambria" w:hAnsi="Cambria"/>
        <w:sz w:val="20"/>
      </w:rPr>
      <w:t>Branches</w:t>
    </w:r>
    <w:proofErr w:type="spellEnd"/>
    <w:r w:rsidRPr="002D42D1">
      <w:rPr>
        <w:rFonts w:ascii="Cambria" w:hAnsi="Cambria"/>
        <w:sz w:val="20"/>
      </w:rPr>
      <w:t xml:space="preserve">: Via Empedocle, 58 - 95128 Catania (CT); Via Cavour, 4/6 - 87036 Rende (CS); </w:t>
    </w:r>
  </w:p>
  <w:p w14:paraId="409038F3" w14:textId="77777777" w:rsidR="004B48E3" w:rsidRPr="002D42D1" w:rsidRDefault="004B48E3" w:rsidP="004B48E3">
    <w:pPr>
      <w:tabs>
        <w:tab w:val="center" w:pos="4819"/>
        <w:tab w:val="right" w:pos="9638"/>
      </w:tabs>
      <w:jc w:val="center"/>
      <w:rPr>
        <w:rFonts w:ascii="Cambria" w:hAnsi="Cambria"/>
        <w:sz w:val="20"/>
      </w:rPr>
    </w:pPr>
    <w:r w:rsidRPr="002D42D1">
      <w:rPr>
        <w:rFonts w:ascii="Cambria" w:hAnsi="Cambria"/>
        <w:sz w:val="20"/>
      </w:rPr>
      <w:t>Via Madonna Alta 128, 06128 Perugia (PG)</w:t>
    </w:r>
  </w:p>
  <w:p w14:paraId="77E59D63" w14:textId="77777777" w:rsidR="004B48E3" w:rsidRPr="002D42D1" w:rsidRDefault="004B48E3" w:rsidP="004B48E3">
    <w:pPr>
      <w:tabs>
        <w:tab w:val="center" w:pos="4819"/>
        <w:tab w:val="right" w:pos="9638"/>
      </w:tabs>
      <w:jc w:val="center"/>
      <w:rPr>
        <w:rFonts w:ascii="Cambria" w:hAnsi="Cambria"/>
        <w:sz w:val="20"/>
      </w:rPr>
    </w:pPr>
    <w:r w:rsidRPr="002D42D1">
      <w:rPr>
        <w:rFonts w:ascii="Cambria" w:hAnsi="Cambria"/>
        <w:sz w:val="20"/>
      </w:rPr>
      <w:t>P. IVA 02118311006 - C.F. 80054330586</w:t>
    </w:r>
  </w:p>
  <w:p w14:paraId="3ED3DA5F" w14:textId="77777777" w:rsidR="004B48E3" w:rsidRPr="002D42D1" w:rsidRDefault="004B48E3" w:rsidP="004B48E3">
    <w:pPr>
      <w:tabs>
        <w:tab w:val="center" w:pos="4819"/>
        <w:tab w:val="right" w:pos="9638"/>
      </w:tabs>
      <w:jc w:val="center"/>
      <w:rPr>
        <w:rFonts w:ascii="GeosansLight" w:hAnsi="GeosansLight"/>
        <w:b/>
        <w:sz w:val="18"/>
      </w:rPr>
    </w:pPr>
    <w:r w:rsidRPr="002D42D1">
      <w:rPr>
        <w:rFonts w:ascii="Cambria" w:hAnsi="Cambria"/>
        <w:color w:val="000000"/>
        <w:sz w:val="18"/>
      </w:rPr>
      <w:t xml:space="preserve">www.isafom.cnr.it – E-mail: </w:t>
    </w:r>
    <w:r w:rsidRPr="002D42D1">
      <w:rPr>
        <w:rFonts w:ascii="Cambria" w:hAnsi="Cambria"/>
        <w:color w:val="0563C1" w:themeColor="hyperlink"/>
        <w:sz w:val="18"/>
        <w:u w:val="single"/>
      </w:rPr>
      <w:t>segreteria.na@isafom.cnr.it</w:t>
    </w:r>
    <w:r w:rsidRPr="002D42D1">
      <w:rPr>
        <w:rFonts w:ascii="Cambria" w:hAnsi="Cambria"/>
        <w:sz w:val="18"/>
      </w:rPr>
      <w:t xml:space="preserve"> – E-mail PEC: </w:t>
    </w:r>
    <w:r w:rsidRPr="002D42D1">
      <w:rPr>
        <w:rFonts w:ascii="Cambria" w:hAnsi="Cambria"/>
        <w:color w:val="0563C1" w:themeColor="hyperlink"/>
        <w:sz w:val="18"/>
        <w:u w:val="single"/>
      </w:rPr>
      <w:t>protocollo.isafom@pec.cnr.it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B9E7" w14:textId="77777777" w:rsidR="0092391B" w:rsidRDefault="009239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D43C" w14:textId="77777777" w:rsidR="00C555A1" w:rsidRDefault="00C555A1" w:rsidP="004B48E3">
      <w:r>
        <w:separator/>
      </w:r>
    </w:p>
  </w:footnote>
  <w:footnote w:type="continuationSeparator" w:id="0">
    <w:p w14:paraId="5A1E77D8" w14:textId="77777777" w:rsidR="00C555A1" w:rsidRDefault="00C555A1" w:rsidP="004B48E3">
      <w:r>
        <w:continuationSeparator/>
      </w:r>
    </w:p>
  </w:footnote>
  <w:footnote w:id="1">
    <w:p w14:paraId="47CBA913" w14:textId="77777777" w:rsidR="002B000D" w:rsidRPr="008F6C7A" w:rsidRDefault="002B000D" w:rsidP="002B000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6B2227A0" w14:textId="77777777" w:rsidR="002B000D" w:rsidRPr="008F6C7A" w:rsidRDefault="002B000D" w:rsidP="002B000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544C" w14:textId="77777777" w:rsidR="0092391B" w:rsidRDefault="009239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84EB" w14:textId="589A4C53" w:rsidR="004B48E3" w:rsidRDefault="004B48E3" w:rsidP="004B48E3">
    <w:pPr>
      <w:pStyle w:val="Intestazione"/>
      <w:tabs>
        <w:tab w:val="clear" w:pos="4819"/>
        <w:tab w:val="clear" w:pos="9638"/>
        <w:tab w:val="left" w:pos="1290"/>
      </w:tabs>
    </w:pPr>
    <w:r w:rsidRPr="004B48E3">
      <w:rPr>
        <w:noProof/>
        <w:sz w:val="20"/>
        <w:szCs w:val="20"/>
      </w:rPr>
      <w:t xml:space="preserve"> </w:t>
    </w:r>
    <w:r w:rsidR="0088083C">
      <w:rPr>
        <w:noProof/>
        <w:sz w:val="20"/>
        <w:szCs w:val="20"/>
      </w:rPr>
      <w:drawing>
        <wp:inline distT="0" distB="0" distL="0" distR="0" wp14:anchorId="3EBF64C7" wp14:editId="0F0BF3F2">
          <wp:extent cx="6115050" cy="8959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95985"/>
                  </a:xfrm>
                  <a:prstGeom prst="rect">
                    <a:avLst/>
                  </a:prstGeom>
                  <a:noFill/>
                </pic:spPr>
              </pic:pic>
            </a:graphicData>
          </a:graphic>
        </wp:inline>
      </w:drawing>
    </w:r>
    <w:r>
      <w:rPr>
        <w:noProof/>
        <w:sz w:val="20"/>
        <w:szCs w:val="20"/>
      </w:rPr>
      <w:tab/>
    </w:r>
    <w:r>
      <w:t>Istituto per i Sistemi Agricoli e Forestali del Mediterraneo</w:t>
    </w:r>
  </w:p>
  <w:p w14:paraId="538BFED7" w14:textId="77777777" w:rsidR="004B48E3" w:rsidRPr="00E1008E" w:rsidRDefault="004B48E3" w:rsidP="004B48E3">
    <w:pPr>
      <w:pStyle w:val="Intestazione"/>
      <w:pBdr>
        <w:bottom w:val="single" w:sz="6" w:space="1" w:color="auto"/>
      </w:pBdr>
      <w:rPr>
        <w:noProof/>
        <w:sz w:val="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D46F" w14:textId="77777777" w:rsidR="0092391B" w:rsidRDefault="009239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B1045"/>
    <w:multiLevelType w:val="hybridMultilevel"/>
    <w:tmpl w:val="2AD80A68"/>
    <w:lvl w:ilvl="0" w:tplc="41F0E3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E86A19"/>
    <w:multiLevelType w:val="hybridMultilevel"/>
    <w:tmpl w:val="1B8E6EA0"/>
    <w:lvl w:ilvl="0" w:tplc="71AC68AC">
      <w:numFmt w:val="bullet"/>
      <w:lvlText w:val=""/>
      <w:lvlJc w:val="left"/>
      <w:pPr>
        <w:ind w:left="1325" w:hanging="360"/>
      </w:pPr>
      <w:rPr>
        <w:rFonts w:ascii="Wingdings" w:eastAsia="Wingdings" w:hAnsi="Wingdings" w:cs="Wingdings" w:hint="default"/>
      </w:rPr>
    </w:lvl>
    <w:lvl w:ilvl="1" w:tplc="04100003" w:tentative="1">
      <w:start w:val="1"/>
      <w:numFmt w:val="bullet"/>
      <w:lvlText w:val="o"/>
      <w:lvlJc w:val="left"/>
      <w:pPr>
        <w:ind w:left="2045" w:hanging="360"/>
      </w:pPr>
      <w:rPr>
        <w:rFonts w:ascii="Courier New" w:hAnsi="Courier New" w:cs="Courier New" w:hint="default"/>
      </w:rPr>
    </w:lvl>
    <w:lvl w:ilvl="2" w:tplc="04100005" w:tentative="1">
      <w:start w:val="1"/>
      <w:numFmt w:val="bullet"/>
      <w:lvlText w:val=""/>
      <w:lvlJc w:val="left"/>
      <w:pPr>
        <w:ind w:left="2765" w:hanging="360"/>
      </w:pPr>
      <w:rPr>
        <w:rFonts w:ascii="Wingdings" w:hAnsi="Wingdings" w:hint="default"/>
      </w:rPr>
    </w:lvl>
    <w:lvl w:ilvl="3" w:tplc="04100001" w:tentative="1">
      <w:start w:val="1"/>
      <w:numFmt w:val="bullet"/>
      <w:lvlText w:val=""/>
      <w:lvlJc w:val="left"/>
      <w:pPr>
        <w:ind w:left="3485" w:hanging="360"/>
      </w:pPr>
      <w:rPr>
        <w:rFonts w:ascii="Symbol" w:hAnsi="Symbol" w:hint="default"/>
      </w:rPr>
    </w:lvl>
    <w:lvl w:ilvl="4" w:tplc="04100003" w:tentative="1">
      <w:start w:val="1"/>
      <w:numFmt w:val="bullet"/>
      <w:lvlText w:val="o"/>
      <w:lvlJc w:val="left"/>
      <w:pPr>
        <w:ind w:left="4205" w:hanging="360"/>
      </w:pPr>
      <w:rPr>
        <w:rFonts w:ascii="Courier New" w:hAnsi="Courier New" w:cs="Courier New" w:hint="default"/>
      </w:rPr>
    </w:lvl>
    <w:lvl w:ilvl="5" w:tplc="04100005" w:tentative="1">
      <w:start w:val="1"/>
      <w:numFmt w:val="bullet"/>
      <w:lvlText w:val=""/>
      <w:lvlJc w:val="left"/>
      <w:pPr>
        <w:ind w:left="4925" w:hanging="360"/>
      </w:pPr>
      <w:rPr>
        <w:rFonts w:ascii="Wingdings" w:hAnsi="Wingdings" w:hint="default"/>
      </w:rPr>
    </w:lvl>
    <w:lvl w:ilvl="6" w:tplc="04100001" w:tentative="1">
      <w:start w:val="1"/>
      <w:numFmt w:val="bullet"/>
      <w:lvlText w:val=""/>
      <w:lvlJc w:val="left"/>
      <w:pPr>
        <w:ind w:left="5645" w:hanging="360"/>
      </w:pPr>
      <w:rPr>
        <w:rFonts w:ascii="Symbol" w:hAnsi="Symbol" w:hint="default"/>
      </w:rPr>
    </w:lvl>
    <w:lvl w:ilvl="7" w:tplc="04100003" w:tentative="1">
      <w:start w:val="1"/>
      <w:numFmt w:val="bullet"/>
      <w:lvlText w:val="o"/>
      <w:lvlJc w:val="left"/>
      <w:pPr>
        <w:ind w:left="6365" w:hanging="360"/>
      </w:pPr>
      <w:rPr>
        <w:rFonts w:ascii="Courier New" w:hAnsi="Courier New" w:cs="Courier New" w:hint="default"/>
      </w:rPr>
    </w:lvl>
    <w:lvl w:ilvl="8" w:tplc="04100005" w:tentative="1">
      <w:start w:val="1"/>
      <w:numFmt w:val="bullet"/>
      <w:lvlText w:val=""/>
      <w:lvlJc w:val="left"/>
      <w:pPr>
        <w:ind w:left="7085" w:hanging="360"/>
      </w:pPr>
      <w:rPr>
        <w:rFonts w:ascii="Wingdings" w:hAnsi="Wingdings" w:hint="default"/>
      </w:rPr>
    </w:lvl>
  </w:abstractNum>
  <w:abstractNum w:abstractNumId="3" w15:restartNumberingAfterBreak="0">
    <w:nsid w:val="59C4057A"/>
    <w:multiLevelType w:val="hybridMultilevel"/>
    <w:tmpl w:val="6E9A8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2534429">
    <w:abstractNumId w:val="1"/>
  </w:num>
  <w:num w:numId="2" w16cid:durableId="1645349405">
    <w:abstractNumId w:val="3"/>
  </w:num>
  <w:num w:numId="3" w16cid:durableId="568156111">
    <w:abstractNumId w:val="2"/>
  </w:num>
  <w:num w:numId="4" w16cid:durableId="1095204726">
    <w:abstractNumId w:val="4"/>
  </w:num>
  <w:num w:numId="5"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E3"/>
    <w:rsid w:val="00020795"/>
    <w:rsid w:val="00035AAB"/>
    <w:rsid w:val="00086A60"/>
    <w:rsid w:val="000E4EC2"/>
    <w:rsid w:val="00200BAF"/>
    <w:rsid w:val="00212A08"/>
    <w:rsid w:val="00220606"/>
    <w:rsid w:val="002505E5"/>
    <w:rsid w:val="00271719"/>
    <w:rsid w:val="002A5DCF"/>
    <w:rsid w:val="002B000D"/>
    <w:rsid w:val="003728EC"/>
    <w:rsid w:val="00380029"/>
    <w:rsid w:val="003A0896"/>
    <w:rsid w:val="003A7033"/>
    <w:rsid w:val="003B73F3"/>
    <w:rsid w:val="0040376F"/>
    <w:rsid w:val="004B48E3"/>
    <w:rsid w:val="004F4E42"/>
    <w:rsid w:val="00515BF5"/>
    <w:rsid w:val="005A1ED2"/>
    <w:rsid w:val="00617CDD"/>
    <w:rsid w:val="006F7A03"/>
    <w:rsid w:val="007B287F"/>
    <w:rsid w:val="007D6919"/>
    <w:rsid w:val="0088083C"/>
    <w:rsid w:val="0092391B"/>
    <w:rsid w:val="009562D5"/>
    <w:rsid w:val="009753AF"/>
    <w:rsid w:val="009779E6"/>
    <w:rsid w:val="00A00B23"/>
    <w:rsid w:val="00A31759"/>
    <w:rsid w:val="00AD75BC"/>
    <w:rsid w:val="00BD0C6B"/>
    <w:rsid w:val="00C23857"/>
    <w:rsid w:val="00C555A1"/>
    <w:rsid w:val="00CA2DBF"/>
    <w:rsid w:val="00CB3E4C"/>
    <w:rsid w:val="00CD7BE8"/>
    <w:rsid w:val="00D8477D"/>
    <w:rsid w:val="00DC1AF9"/>
    <w:rsid w:val="00E1008E"/>
    <w:rsid w:val="00ED4C15"/>
    <w:rsid w:val="00F25178"/>
    <w:rsid w:val="00F657FC"/>
    <w:rsid w:val="00F65887"/>
    <w:rsid w:val="00FD2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A055"/>
  <w15:chartTrackingRefBased/>
  <w15:docId w15:val="{3EECE17C-92D9-48C3-8AC0-68C1AB5D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8E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48E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B48E3"/>
  </w:style>
  <w:style w:type="paragraph" w:styleId="Pidipagina">
    <w:name w:val="footer"/>
    <w:basedOn w:val="Normale"/>
    <w:link w:val="PidipaginaCarattere"/>
    <w:uiPriority w:val="99"/>
    <w:unhideWhenUsed/>
    <w:rsid w:val="004B48E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B48E3"/>
  </w:style>
  <w:style w:type="paragraph" w:styleId="Paragrafoelenco">
    <w:name w:val="List Paragraph"/>
    <w:basedOn w:val="Normale"/>
    <w:uiPriority w:val="34"/>
    <w:qFormat/>
    <w:rsid w:val="00A00B23"/>
    <w:pPr>
      <w:ind w:left="720"/>
      <w:contextualSpacing/>
    </w:pPr>
  </w:style>
  <w:style w:type="paragraph" w:styleId="Testonotadichiusura">
    <w:name w:val="endnote text"/>
    <w:basedOn w:val="Normale"/>
    <w:link w:val="TestonotadichiusuraCarattere"/>
    <w:uiPriority w:val="99"/>
    <w:semiHidden/>
    <w:unhideWhenUsed/>
    <w:rsid w:val="00A00B23"/>
    <w:rPr>
      <w:sz w:val="20"/>
      <w:szCs w:val="20"/>
    </w:rPr>
  </w:style>
  <w:style w:type="character" w:customStyle="1" w:styleId="TestonotadichiusuraCarattere">
    <w:name w:val="Testo nota di chiusura Carattere"/>
    <w:basedOn w:val="Carpredefinitoparagrafo"/>
    <w:link w:val="Testonotadichiusura"/>
    <w:uiPriority w:val="99"/>
    <w:semiHidden/>
    <w:rsid w:val="00A00B23"/>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A00B23"/>
    <w:rPr>
      <w:vertAlign w:val="superscript"/>
    </w:rPr>
  </w:style>
  <w:style w:type="paragraph" w:styleId="NormaleWeb">
    <w:name w:val="Normal (Web)"/>
    <w:basedOn w:val="Normale"/>
    <w:uiPriority w:val="99"/>
    <w:unhideWhenUsed/>
    <w:rsid w:val="002A5DCF"/>
    <w:pPr>
      <w:spacing w:before="100" w:beforeAutospacing="1" w:after="100" w:afterAutospacing="1"/>
    </w:pPr>
  </w:style>
  <w:style w:type="character" w:styleId="Collegamentoipertestuale">
    <w:name w:val="Hyperlink"/>
    <w:basedOn w:val="Carpredefinitoparagrafo"/>
    <w:uiPriority w:val="99"/>
    <w:unhideWhenUsed/>
    <w:rsid w:val="002A5DCF"/>
    <w:rPr>
      <w:color w:val="0563C1" w:themeColor="hyperlink"/>
      <w:u w:val="single"/>
    </w:rPr>
  </w:style>
  <w:style w:type="paragraph" w:styleId="Testonotaapidipagina">
    <w:name w:val="footnote text"/>
    <w:basedOn w:val="Normale"/>
    <w:link w:val="TestonotaapidipaginaCarattere"/>
    <w:uiPriority w:val="99"/>
    <w:rsid w:val="002B000D"/>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2B000D"/>
    <w:rPr>
      <w:rFonts w:ascii="Times New Roman" w:eastAsia="Times New Roman" w:hAnsi="Times New Roman" w:cs="Times New Roman"/>
      <w:sz w:val="20"/>
      <w:szCs w:val="20"/>
      <w:lang w:eastAsia="it-IT"/>
    </w:rPr>
  </w:style>
  <w:style w:type="character" w:styleId="Rimandonotaapidipagina">
    <w:name w:val="footnote reference"/>
    <w:uiPriority w:val="99"/>
    <w:rsid w:val="002B000D"/>
    <w:rPr>
      <w:vertAlign w:val="superscript"/>
    </w:rPr>
  </w:style>
  <w:style w:type="paragraph" w:customStyle="1" w:styleId="Default">
    <w:name w:val="Default"/>
    <w:rsid w:val="002B0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orricom</dc:creator>
  <cp:keywords/>
  <dc:description/>
  <cp:lastModifiedBy>SIMONETTA BEDINI</cp:lastModifiedBy>
  <cp:revision>2</cp:revision>
  <cp:lastPrinted>2023-03-02T13:56:00Z</cp:lastPrinted>
  <dcterms:created xsi:type="dcterms:W3CDTF">2024-04-03T07:31:00Z</dcterms:created>
  <dcterms:modified xsi:type="dcterms:W3CDTF">2024-04-03T07:31:00Z</dcterms:modified>
</cp:coreProperties>
</file>