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Pr="00B70A60" w:rsidRDefault="00691DCF" w:rsidP="00B70A60">
      <w:pPr>
        <w:contextualSpacing/>
        <w:jc w:val="center"/>
        <w:rPr>
          <w:rFonts w:ascii="Calibri" w:eastAsia="Times New Roman" w:hAnsi="Calibri" w:cs="Calibri"/>
          <w:sz w:val="24"/>
          <w:szCs w:val="24"/>
        </w:rPr>
      </w:pPr>
    </w:p>
    <w:p w14:paraId="4196B382" w14:textId="45231CE3" w:rsidR="00CA76B0" w:rsidRDefault="00AF5E4C" w:rsidP="00B70A60">
      <w:pPr>
        <w:contextualSpacing/>
        <w:jc w:val="center"/>
        <w:rPr>
          <w:rFonts w:ascii="Calibri" w:eastAsia="Times New Roman" w:hAnsi="Calibri" w:cs="Calibri"/>
          <w:b/>
          <w:bCs/>
          <w:sz w:val="24"/>
          <w:szCs w:val="24"/>
        </w:rPr>
      </w:pPr>
      <w:r w:rsidRPr="00B70A60">
        <w:rPr>
          <w:rFonts w:ascii="Calibri" w:eastAsia="Times New Roman" w:hAnsi="Calibri" w:cs="Calibri"/>
          <w:b/>
          <w:bCs/>
          <w:sz w:val="24"/>
          <w:szCs w:val="24"/>
        </w:rPr>
        <w:t xml:space="preserve">DICHIARAZIONE SOSTITUTIVA INTEGRATIVA </w:t>
      </w:r>
      <w:r w:rsidR="003D1FB8" w:rsidRPr="00B70A60">
        <w:rPr>
          <w:rFonts w:ascii="Calibri" w:eastAsia="Times New Roman" w:hAnsi="Calibri" w:cs="Calibri"/>
          <w:b/>
          <w:bCs/>
          <w:sz w:val="24"/>
          <w:szCs w:val="24"/>
        </w:rPr>
        <w:t>AL DGUE</w:t>
      </w:r>
    </w:p>
    <w:p w14:paraId="6F181491" w14:textId="77777777" w:rsidR="00732BD8" w:rsidRPr="00B70A60" w:rsidRDefault="00732BD8" w:rsidP="00B70A60">
      <w:pPr>
        <w:contextualSpacing/>
        <w:jc w:val="center"/>
        <w:rPr>
          <w:rFonts w:ascii="Calibri" w:eastAsia="Times New Roman" w:hAnsi="Calibri" w:cs="Calibri"/>
          <w:b/>
          <w:bCs/>
          <w:sz w:val="24"/>
          <w:szCs w:val="24"/>
        </w:rPr>
      </w:pPr>
    </w:p>
    <w:p w14:paraId="0AE7C1C1" w14:textId="77777777" w:rsidR="000D6678" w:rsidRPr="000D6678" w:rsidRDefault="000D6678" w:rsidP="000D6678">
      <w:pPr>
        <w:jc w:val="center"/>
        <w:rPr>
          <w:rFonts w:ascii="Calibri" w:hAnsi="Calibri" w:cs="Calibri"/>
          <w:caps/>
          <w:szCs w:val="20"/>
        </w:rPr>
      </w:pPr>
    </w:p>
    <w:p w14:paraId="7800C14E" w14:textId="77777777" w:rsidR="000D6678" w:rsidRPr="000D6678" w:rsidRDefault="000D6678" w:rsidP="000D6678">
      <w:pPr>
        <w:widowControl w:val="0"/>
        <w:spacing w:after="60"/>
        <w:ind w:right="-45"/>
        <w:jc w:val="both"/>
        <w:rPr>
          <w:rFonts w:ascii="Calibri" w:hAnsi="Calibri" w:cs="Calibri"/>
          <w:b/>
          <w:bCs/>
          <w:szCs w:val="20"/>
          <w:lang w:eastAsia="en-US"/>
        </w:rPr>
      </w:pPr>
      <w:r w:rsidRPr="000D6678">
        <w:rPr>
          <w:rFonts w:ascii="Calibri" w:hAnsi="Calibri" w:cs="Calibri"/>
          <w:b/>
          <w:bCs/>
          <w:szCs w:val="20"/>
          <w:lang w:eastAsia="en-US"/>
        </w:rPr>
        <w:t>GARA A PROCEDURA APERTA SOPRA SOGLIA COMUNITARIA SU PIATTAFORMA TELEMATICA ASP DI CONSIP SPA AI SENSI DELL’ART. 71 DEL DECRETO LEGISLATIVO N. 36/2023 E S.M.I. PE</w:t>
      </w:r>
      <w:bookmarkStart w:id="0" w:name="_Hlk142314096"/>
      <w:bookmarkStart w:id="1" w:name="_Hlk146446965"/>
      <w:r w:rsidRPr="000D6678">
        <w:rPr>
          <w:rFonts w:ascii="Calibri" w:hAnsi="Calibri" w:cs="Calibri"/>
          <w:b/>
          <w:bCs/>
          <w:szCs w:val="20"/>
          <w:lang w:eastAsia="en-US"/>
        </w:rPr>
        <w:t xml:space="preserve">R L’AFFIDAMENTO DELLA FORNITURA, INSTALLAZIONE E RESA OPERATIVA  DI </w:t>
      </w:r>
      <w:r w:rsidRPr="000D6678">
        <w:rPr>
          <w:rFonts w:ascii="Calibri" w:hAnsi="Calibri" w:cs="Calibri"/>
          <w:b/>
          <w:bCs/>
          <w:i/>
          <w:iCs/>
          <w:szCs w:val="20"/>
          <w:lang w:eastAsia="en-US"/>
        </w:rPr>
        <w:t>“SISTEMI PER LA DETERMINAZIONE DELLE PROPRIETA’ ELETTRICHE E TERMICHE DI MATERIALI E DISPOSITIVI PER LA MICROELETTRONICA SUDDIVISA IN 2 LOTTI” (LOTTO 1 - SISTEMA PER MISURE CORRENTE-TENSIONE AD IMPULSI ULTRA-VELOCI AD ELEVATA TENSIONE- LOTTO 2 - SISTEMA PER MISURE TERMICHE IN DISPOSITIVI MICROELETTRONICI AD ELEVATA RISOLUZIONE SPAZIALE E TEMPORALE)</w:t>
      </w:r>
      <w:r w:rsidRPr="000D6678">
        <w:rPr>
          <w:rFonts w:ascii="Calibri" w:hAnsi="Calibri" w:cs="Calibri"/>
          <w:b/>
          <w:bCs/>
          <w:i/>
          <w:szCs w:val="20"/>
          <w:lang w:eastAsia="en-US"/>
        </w:rPr>
        <w:t>”</w:t>
      </w:r>
      <w:bookmarkEnd w:id="0"/>
      <w:bookmarkEnd w:id="1"/>
      <w:r w:rsidRPr="000D6678">
        <w:rPr>
          <w:rFonts w:ascii="Calibri" w:hAnsi="Calibri" w:cs="Calibri"/>
          <w:b/>
          <w:bCs/>
          <w:szCs w:val="20"/>
          <w:lang w:eastAsia="en-US"/>
        </w:rPr>
        <w:t xml:space="preserve"> NELL’AMBITO DEL PIANO NAZIONALE RIPRESA E RESILIENZA (PNRR) MISSIONE 4 “ISTRUZIONE E RICERCA” - COMPONENTE 2 “DALLA RICERCA ALL’IMPRESA” - INVESTIMENTO 3.1 “FONDO PER LA REALIZZAZIONE DI UN SISTEMA INTEGRATO DI INFRASTRUTTURE DI RICERCA E INNOVAZIONE” .</w:t>
      </w:r>
    </w:p>
    <w:p w14:paraId="5004D661" w14:textId="77777777" w:rsidR="000D6678" w:rsidRPr="000D6678" w:rsidRDefault="000D6678" w:rsidP="000D6678">
      <w:pPr>
        <w:widowControl w:val="0"/>
        <w:spacing w:after="60"/>
        <w:ind w:right="-45"/>
        <w:jc w:val="both"/>
        <w:rPr>
          <w:rFonts w:ascii="Calibri" w:hAnsi="Calibri" w:cs="Calibri"/>
          <w:b/>
          <w:bCs/>
          <w:szCs w:val="20"/>
          <w:lang w:eastAsia="en-US"/>
        </w:rPr>
      </w:pPr>
      <w:r w:rsidRPr="000D6678">
        <w:rPr>
          <w:rFonts w:ascii="Calibri" w:hAnsi="Calibri" w:cs="Calibri"/>
          <w:b/>
          <w:bCs/>
          <w:szCs w:val="20"/>
          <w:lang w:eastAsia="en-US"/>
        </w:rPr>
        <w:t>PROGETTO iENTRANCE - CUP  B33C22000710006</w:t>
      </w:r>
    </w:p>
    <w:p w14:paraId="527E20CD" w14:textId="77777777" w:rsidR="00B70A60" w:rsidRPr="00B70A60" w:rsidRDefault="00B70A60" w:rsidP="00B70A60">
      <w:pPr>
        <w:contextualSpacing/>
        <w:jc w:val="both"/>
        <w:rPr>
          <w:rFonts w:ascii="Calibri" w:eastAsia="Times New Roman" w:hAnsi="Calibri" w:cs="Calibri"/>
          <w:b/>
          <w:bCs/>
          <w:szCs w:val="20"/>
        </w:rPr>
      </w:pPr>
      <w:bookmarkStart w:id="2" w:name="_GoBack"/>
      <w:bookmarkEnd w:id="2"/>
    </w:p>
    <w:p w14:paraId="4BBD287A" w14:textId="77777777" w:rsidR="00B70A60" w:rsidRPr="00B70A60" w:rsidRDefault="00B70A60" w:rsidP="00B70A60">
      <w:pPr>
        <w:contextualSpacing/>
        <w:jc w:val="both"/>
        <w:rPr>
          <w:rFonts w:ascii="Calibri" w:eastAsia="Times New Roman" w:hAnsi="Calibri" w:cs="Calibri"/>
          <w:b/>
          <w:bCs/>
          <w:szCs w:val="20"/>
        </w:rPr>
      </w:pPr>
    </w:p>
    <w:p w14:paraId="128F1565" w14:textId="77777777" w:rsidR="00B70A60" w:rsidRPr="00C06F96" w:rsidRDefault="00B70A60" w:rsidP="00973E17">
      <w:pPr>
        <w:contextualSpacing/>
        <w:jc w:val="both"/>
        <w:rPr>
          <w:rFonts w:ascii="Calibri" w:eastAsia="Times New Roman" w:hAnsi="Calibri" w:cs="Calibri"/>
          <w:szCs w:val="20"/>
        </w:rPr>
      </w:pPr>
    </w:p>
    <w:p w14:paraId="74FBEDC9" w14:textId="77777777"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393D67">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 xml:space="preserve">devono essere indicati i dati identificativi dei  seguenti </w:t>
      </w:r>
      <w:r w:rsidR="00AF5863" w:rsidRPr="009E0BD0">
        <w:rPr>
          <w:i/>
          <w:u w:val="single"/>
        </w:rPr>
        <w:lastRenderedPageBreak/>
        <w:t>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6C2869">
      <w:pPr>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393D67">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393D67">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393D67">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393D67">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665964F7" w14:textId="77777777" w:rsidR="006C2869" w:rsidRPr="004C2DFA" w:rsidRDefault="006C2869" w:rsidP="00393D67">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6C2869" w:rsidRPr="004C2DFA" w14:paraId="5AA09597" w14:textId="77777777" w:rsidTr="001F0D0F">
        <w:tc>
          <w:tcPr>
            <w:tcW w:w="567" w:type="dxa"/>
            <w:vAlign w:val="center"/>
          </w:tcPr>
          <w:p w14:paraId="0E833A0A"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5B565119" w14:textId="77777777" w:rsidR="006C2869" w:rsidRPr="004C2DFA" w:rsidRDefault="006C286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19720027"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w:t>
            </w:r>
            <w:r w:rsidRPr="004C2DFA">
              <w:rPr>
                <w:rFonts w:ascii="Calibri" w:hAnsi="Calibri" w:cs="Arial"/>
                <w:szCs w:val="20"/>
              </w:rPr>
              <w:lastRenderedPageBreak/>
              <w:t xml:space="preserve">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457CAA5D"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72DA7F7C" w14:textId="77777777" w:rsidTr="001F0D0F">
        <w:tc>
          <w:tcPr>
            <w:tcW w:w="567" w:type="dxa"/>
            <w:vAlign w:val="center"/>
          </w:tcPr>
          <w:p w14:paraId="5D979998" w14:textId="77777777" w:rsidR="006C2869" w:rsidRPr="004C2DFA" w:rsidRDefault="006C286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1BEC50F6"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3EAA0B1"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6B239066"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4E677AB0" w14:textId="77777777" w:rsidR="006C2869" w:rsidRPr="004C2DFA" w:rsidRDefault="006C2869" w:rsidP="00393D67">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3DC70D3C" w14:textId="77777777" w:rsidTr="001F0D0F">
        <w:tc>
          <w:tcPr>
            <w:tcW w:w="567" w:type="dxa"/>
            <w:vAlign w:val="center"/>
          </w:tcPr>
          <w:p w14:paraId="4359B82D" w14:textId="77777777" w:rsidR="006C2869" w:rsidRPr="004C2DFA" w:rsidRDefault="006C2869" w:rsidP="001F0D0F">
            <w:pPr>
              <w:jc w:val="center"/>
              <w:rPr>
                <w:rFonts w:ascii="Calibri" w:hAnsi="Calibri" w:cs="Calibri"/>
                <w:szCs w:val="20"/>
              </w:rPr>
            </w:pPr>
            <w:r w:rsidRPr="004C2DFA">
              <w:rPr>
                <w:rFonts w:ascii="Calibri" w:hAnsi="Calibri" w:cs="Calibri"/>
                <w:szCs w:val="20"/>
              </w:rPr>
              <w:t>⃝</w:t>
            </w:r>
          </w:p>
        </w:tc>
        <w:tc>
          <w:tcPr>
            <w:tcW w:w="8866" w:type="dxa"/>
          </w:tcPr>
          <w:p w14:paraId="63FB610D"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FADD28E" w14:textId="77777777" w:rsidR="006C2869" w:rsidRPr="006C2869" w:rsidRDefault="006C2869" w:rsidP="006C2869">
      <w:pPr>
        <w:pStyle w:val="NormaleWeb"/>
        <w:spacing w:before="0" w:beforeAutospacing="0" w:after="0" w:afterAutospacing="0"/>
        <w:jc w:val="both"/>
        <w:rPr>
          <w:rFonts w:asciiTheme="minorHAnsi" w:hAnsiTheme="minorHAnsi" w:cstheme="minorHAnsi"/>
          <w:sz w:val="20"/>
          <w:szCs w:val="20"/>
        </w:rPr>
      </w:pPr>
    </w:p>
    <w:p w14:paraId="408990D0" w14:textId="0D89EF4B" w:rsidR="00841D66" w:rsidRPr="0091723D" w:rsidRDefault="00841D66" w:rsidP="00393D67">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393D67">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393D67">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393D67">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 xml:space="preserve">Di avere conferito incarichi professionali e concluso contratto/i di lavoro subordinato o autonomo ad ex dipendenti del Consiglio Nazionale delle Ricerche che hanno cessato il rapporto di lavoro da meno di tre </w:t>
            </w:r>
            <w:r w:rsidRPr="004C2DFA">
              <w:rPr>
                <w:rFonts w:ascii="Calibri" w:hAnsi="Calibri" w:cs="Arial"/>
                <w:szCs w:val="20"/>
              </w:rPr>
              <w:lastRenderedPageBreak/>
              <w:t>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lastRenderedPageBreak/>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393D67">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1AD49BF8" w14:textId="58D333CD"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IL NUMERO DI DIPENDENTI OCCUPATI</w:t>
      </w:r>
      <w:r w:rsidRPr="2ACF3C3E">
        <w:rPr>
          <w:rFonts w:ascii="Calibri" w:hAnsi="Calibri" w:cs="Calibri"/>
          <w:szCs w:val="20"/>
        </w:rPr>
        <w:t xml:space="preserve"> e, in funzione di tale numero, si impegna al rispetto degli adempimenti previsti dal D.L. n. 77/2021 convertito in L. n. 108/2021 e del d.l. 13 del 2023 convertito con modificazioni dalla legge n.41;</w:t>
      </w:r>
    </w:p>
    <w:p w14:paraId="78E8C017" w14:textId="24A51667" w:rsidR="04EB98E5" w:rsidRDefault="04EB98E5" w:rsidP="2ACF3C3E">
      <w:pPr>
        <w:jc w:val="both"/>
        <w:rPr>
          <w:rFonts w:ascii="Calibri" w:hAnsi="Calibri"/>
          <w:szCs w:val="20"/>
        </w:rPr>
      </w:pPr>
      <w:r w:rsidRPr="2ACF3C3E">
        <w:rPr>
          <w:rFonts w:ascii="Calibri" w:hAnsi="Calibri" w:cs="Calibri"/>
          <w:szCs w:val="20"/>
        </w:rPr>
        <w:t xml:space="preserve"> </w:t>
      </w:r>
    </w:p>
    <w:p w14:paraId="658B4DE5" w14:textId="556615D3" w:rsidR="04EB98E5" w:rsidRDefault="04EB98E5" w:rsidP="00393D67">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393D67">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393D67">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3" w:name="_Ref41906052"/>
      <w:r>
        <w:rPr>
          <w:rStyle w:val="Rimandonotaapidipagina"/>
          <w:rFonts w:cstheme="minorHAnsi"/>
          <w:szCs w:val="20"/>
        </w:rPr>
        <w:footnoteReference w:id="3"/>
      </w:r>
      <w:bookmarkEnd w:id="3"/>
    </w:p>
    <w:sectPr w:rsidR="009E0BD0" w:rsidRPr="008053D0" w:rsidSect="00CA76B0">
      <w:headerReference w:type="default" r:id="rId11"/>
      <w:footerReference w:type="default" r:id="rId12"/>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39EAF" w14:textId="77777777" w:rsidR="00B92351" w:rsidRDefault="00B92351" w:rsidP="00F91270">
      <w:r>
        <w:separator/>
      </w:r>
    </w:p>
  </w:endnote>
  <w:endnote w:type="continuationSeparator" w:id="0">
    <w:p w14:paraId="15EDF3FA" w14:textId="77777777" w:rsidR="00B92351" w:rsidRDefault="00B9235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096A1C24" w:rsidR="00FB1BA1" w:rsidRPr="00821158" w:rsidRDefault="00694BC4" w:rsidP="00694BC4">
    <w:pPr>
      <w:pStyle w:val="Pidipagina"/>
      <w:rPr>
        <w:sz w:val="24"/>
        <w:szCs w:val="24"/>
      </w:rPr>
    </w:pPr>
    <w:r>
      <w:rPr>
        <w:noProof/>
      </w:rPr>
      <w:drawing>
        <wp:inline distT="0" distB="0" distL="0" distR="0" wp14:anchorId="647A9BED" wp14:editId="4EBCC716">
          <wp:extent cx="2352675" cy="600075"/>
          <wp:effectExtent l="0" t="0" r="9525" b="9525"/>
          <wp:docPr id="2" name="Immagine 2"/>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0D6678">
      <w:rPr>
        <w:noProof/>
        <w:sz w:val="24"/>
        <w:szCs w:val="24"/>
      </w:rPr>
      <w:t>4</w:t>
    </w:r>
    <w:r w:rsidR="00FB1BA1" w:rsidRPr="00821158">
      <w:rPr>
        <w:sz w:val="24"/>
        <w:szCs w:val="24"/>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F6968" w14:textId="77777777" w:rsidR="00B92351" w:rsidRDefault="00B92351" w:rsidP="00F91270">
      <w:r>
        <w:separator/>
      </w:r>
    </w:p>
  </w:footnote>
  <w:footnote w:type="continuationSeparator" w:id="0">
    <w:p w14:paraId="2DDE8FB7" w14:textId="77777777" w:rsidR="00B92351" w:rsidRDefault="00B92351"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48E6318"/>
    <w:multiLevelType w:val="hybridMultilevel"/>
    <w:tmpl w:val="DC369622"/>
    <w:lvl w:ilvl="0" w:tplc="78B4084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D6678"/>
    <w:rsid w:val="000E55FF"/>
    <w:rsid w:val="000F13F6"/>
    <w:rsid w:val="000F15EB"/>
    <w:rsid w:val="000F2794"/>
    <w:rsid w:val="000F4976"/>
    <w:rsid w:val="00104D68"/>
    <w:rsid w:val="001053E8"/>
    <w:rsid w:val="0010685B"/>
    <w:rsid w:val="00106ACB"/>
    <w:rsid w:val="00110A47"/>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36BE"/>
    <w:rsid w:val="003676F0"/>
    <w:rsid w:val="0037390A"/>
    <w:rsid w:val="0037682F"/>
    <w:rsid w:val="00377AEE"/>
    <w:rsid w:val="00385615"/>
    <w:rsid w:val="00387278"/>
    <w:rsid w:val="00393D67"/>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295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94BC4"/>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2BD8"/>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3AA"/>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7CD"/>
    <w:rsid w:val="00A00F91"/>
    <w:rsid w:val="00A06A81"/>
    <w:rsid w:val="00A113CC"/>
    <w:rsid w:val="00A16246"/>
    <w:rsid w:val="00A17AAB"/>
    <w:rsid w:val="00A17F09"/>
    <w:rsid w:val="00A2428C"/>
    <w:rsid w:val="00A35434"/>
    <w:rsid w:val="00A40EF7"/>
    <w:rsid w:val="00A44E6C"/>
    <w:rsid w:val="00A45ACF"/>
    <w:rsid w:val="00A51326"/>
    <w:rsid w:val="00A53413"/>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A60"/>
    <w:rsid w:val="00B70F58"/>
    <w:rsid w:val="00B7155B"/>
    <w:rsid w:val="00B76DCB"/>
    <w:rsid w:val="00B800DC"/>
    <w:rsid w:val="00B803FB"/>
    <w:rsid w:val="00B81456"/>
    <w:rsid w:val="00B827C8"/>
    <w:rsid w:val="00B84B8C"/>
    <w:rsid w:val="00B87DF9"/>
    <w:rsid w:val="00B911B3"/>
    <w:rsid w:val="00B92351"/>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3706E"/>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DF7A61"/>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E728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3CA0"/>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77678679">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100219808">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DFAE7ACC-C5EB-495E-A725-EFCB68669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2018</Words>
  <Characters>11509</Characters>
  <Application>Microsoft Office Word</Application>
  <DocSecurity>0</DocSecurity>
  <Lines>95</Lines>
  <Paragraphs>26</Paragraphs>
  <ScaleCrop>false</ScaleCrop>
  <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nferrara</cp:lastModifiedBy>
  <cp:revision>35</cp:revision>
  <cp:lastPrinted>2017-10-24T09:03:00Z</cp:lastPrinted>
  <dcterms:created xsi:type="dcterms:W3CDTF">2023-07-26T10:48:00Z</dcterms:created>
  <dcterms:modified xsi:type="dcterms:W3CDTF">2024-04-12T09:09:00Z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