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2D228" w14:textId="628AF46A" w:rsidR="00CC099E" w:rsidRPr="00290D0C" w:rsidRDefault="00CC099E" w:rsidP="00CC099E">
      <w:pPr>
        <w:ind w:left="5670" w:right="1133"/>
        <w:rPr>
          <w:rFonts w:cstheme="minorHAnsi"/>
          <w:sz w:val="21"/>
          <w:szCs w:val="21"/>
        </w:rPr>
      </w:pPr>
      <w:r w:rsidRPr="00290D0C">
        <w:rPr>
          <w:rFonts w:cstheme="minorHAnsi"/>
          <w:sz w:val="21"/>
          <w:szCs w:val="21"/>
        </w:rPr>
        <w:t>Alla Stazione Appaltante</w:t>
      </w:r>
    </w:p>
    <w:p w14:paraId="3F153674" w14:textId="77777777" w:rsidR="00CC099E" w:rsidRPr="00F61E23" w:rsidRDefault="00CC099E" w:rsidP="00CC099E">
      <w:pPr>
        <w:ind w:left="5670"/>
        <w:rPr>
          <w:rFonts w:cstheme="minorHAnsi"/>
          <w:b/>
          <w:bCs/>
          <w:sz w:val="21"/>
          <w:szCs w:val="21"/>
        </w:rPr>
      </w:pPr>
      <w:r w:rsidRPr="00F61E23">
        <w:rPr>
          <w:rFonts w:cstheme="minorHAnsi"/>
          <w:b/>
          <w:bCs/>
          <w:sz w:val="21"/>
          <w:szCs w:val="21"/>
        </w:rPr>
        <w:t>Istituto di Chimica Biomolecolare (ICB)</w:t>
      </w:r>
    </w:p>
    <w:p w14:paraId="2BD6C59A" w14:textId="77777777" w:rsidR="00CC099E" w:rsidRDefault="00CC099E" w:rsidP="00CC099E">
      <w:pPr>
        <w:ind w:left="5670" w:firstLine="6"/>
        <w:rPr>
          <w:rFonts w:cstheme="minorHAnsi"/>
          <w:sz w:val="21"/>
          <w:szCs w:val="21"/>
        </w:rPr>
      </w:pPr>
      <w:r w:rsidRPr="00290D0C">
        <w:rPr>
          <w:rFonts w:cstheme="minorHAnsi"/>
          <w:sz w:val="21"/>
          <w:szCs w:val="21"/>
        </w:rPr>
        <w:t xml:space="preserve">Sede </w:t>
      </w:r>
      <w:r>
        <w:rPr>
          <w:rFonts w:cstheme="minorHAnsi"/>
          <w:sz w:val="21"/>
          <w:szCs w:val="21"/>
        </w:rPr>
        <w:t xml:space="preserve">di Pozzuoli – Comprensorio Olivetti </w:t>
      </w:r>
    </w:p>
    <w:p w14:paraId="69676708" w14:textId="34DB694C" w:rsidR="00CC099E" w:rsidRDefault="00CC099E" w:rsidP="00CC099E">
      <w:pPr>
        <w:ind w:left="5670"/>
        <w:rPr>
          <w:rFonts w:cstheme="minorHAnsi"/>
          <w:sz w:val="21"/>
          <w:szCs w:val="21"/>
        </w:rPr>
      </w:pPr>
      <w:r>
        <w:rPr>
          <w:rFonts w:cstheme="minorHAnsi"/>
          <w:sz w:val="21"/>
          <w:szCs w:val="21"/>
        </w:rPr>
        <w:t>Via Campi Flegrei, 34 – 80078 Pozzuoli (NA)</w:t>
      </w:r>
    </w:p>
    <w:p w14:paraId="606366B8" w14:textId="77777777" w:rsidR="00BF1E86" w:rsidRPr="00BF1E86" w:rsidRDefault="00BF1E86" w:rsidP="00CC099E">
      <w:pPr>
        <w:ind w:left="5670"/>
        <w:rPr>
          <w:rFonts w:cstheme="minorHAnsi"/>
          <w:sz w:val="10"/>
          <w:szCs w:val="10"/>
        </w:rPr>
      </w:pPr>
    </w:p>
    <w:p w14:paraId="1B9A0B0B" w14:textId="3EE87FB0" w:rsidR="00F100E4" w:rsidRPr="00BF1E86" w:rsidRDefault="00F100E4" w:rsidP="00CC099E">
      <w:pPr>
        <w:ind w:left="6237"/>
        <w:rPr>
          <w:rFonts w:cstheme="minorHAnsi"/>
          <w:sz w:val="10"/>
          <w:szCs w:val="10"/>
        </w:rPr>
      </w:pPr>
    </w:p>
    <w:p w14:paraId="01EB2EAB" w14:textId="366A0D58" w:rsidR="00F100E4" w:rsidRPr="00BF1E86" w:rsidRDefault="00F100E4" w:rsidP="00281B9E">
      <w:pPr>
        <w:jc w:val="both"/>
        <w:rPr>
          <w:rFonts w:cstheme="minorHAnsi"/>
          <w:sz w:val="10"/>
          <w:szCs w:val="10"/>
        </w:rPr>
      </w:pPr>
    </w:p>
    <w:p w14:paraId="0E2F4F87" w14:textId="77777777" w:rsidR="00672AA3" w:rsidRDefault="00281B9E" w:rsidP="00672AA3">
      <w:pPr>
        <w:jc w:val="both"/>
        <w:rPr>
          <w:rFonts w:eastAsia="Calibri" w:cstheme="minorHAnsi"/>
          <w:b/>
          <w:bCs/>
          <w:i/>
          <w:iCs/>
          <w:sz w:val="20"/>
          <w:szCs w:val="20"/>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00672AA3" w:rsidRPr="00EE26AF">
        <w:rPr>
          <w:rFonts w:eastAsia="Calibri" w:cstheme="minorHAnsi"/>
          <w:b/>
          <w:bCs/>
          <w:iCs/>
          <w:sz w:val="21"/>
          <w:szCs w:val="21"/>
        </w:rPr>
        <w:t>DELLA FORNITURA DI GAS CRIOGENICI PER SPETTROMETRI NMR</w:t>
      </w:r>
      <w:r w:rsidR="00672AA3" w:rsidRPr="00EE26AF">
        <w:rPr>
          <w:rFonts w:eastAsia="Calibri" w:cstheme="minorHAnsi"/>
          <w:b/>
          <w:bCs/>
          <w:i/>
          <w:iCs/>
          <w:sz w:val="20"/>
          <w:szCs w:val="20"/>
        </w:rPr>
        <w:t xml:space="preserve"> </w:t>
      </w:r>
      <w:r w:rsidR="00672AA3" w:rsidRPr="008F6C7A">
        <w:rPr>
          <w:rFonts w:cstheme="minorHAnsi"/>
          <w:b/>
          <w:sz w:val="21"/>
          <w:szCs w:val="21"/>
        </w:rPr>
        <w:t>NELL’AMBITO DEL PIANO NAZIONALE RIPRESA E RESILIENZA (PNRR) MISSIONE 4, COMPONENTE 2, INVESTIMENTO</w:t>
      </w:r>
      <w:r w:rsidR="00672AA3">
        <w:rPr>
          <w:rFonts w:cstheme="minorHAnsi"/>
          <w:b/>
          <w:sz w:val="21"/>
          <w:szCs w:val="21"/>
        </w:rPr>
        <w:t xml:space="preserve"> 1.1</w:t>
      </w:r>
      <w:r w:rsidR="00672AA3" w:rsidRPr="008F6C7A">
        <w:rPr>
          <w:rFonts w:cstheme="minorHAnsi"/>
          <w:b/>
          <w:sz w:val="21"/>
          <w:szCs w:val="21"/>
        </w:rPr>
        <w:t xml:space="preserve"> </w:t>
      </w:r>
      <w:r w:rsidR="00672AA3">
        <w:rPr>
          <w:rFonts w:cstheme="minorHAnsi"/>
          <w:b/>
          <w:sz w:val="21"/>
          <w:szCs w:val="21"/>
        </w:rPr>
        <w:t xml:space="preserve">, </w:t>
      </w:r>
      <w:r w:rsidR="00672AA3">
        <w:rPr>
          <w:rFonts w:eastAsia="Calibri" w:cstheme="minorHAnsi"/>
          <w:b/>
          <w:bCs/>
          <w:iCs/>
          <w:sz w:val="21"/>
          <w:szCs w:val="21"/>
        </w:rPr>
        <w:t>BANDO PRIN 2022-</w:t>
      </w:r>
      <w:r w:rsidR="00672AA3" w:rsidRPr="00EE26AF">
        <w:rPr>
          <w:rFonts w:eastAsia="Calibri" w:cstheme="minorHAnsi"/>
          <w:b/>
          <w:bCs/>
          <w:iCs/>
          <w:sz w:val="21"/>
          <w:szCs w:val="21"/>
        </w:rPr>
        <w:t>CODICE PROGETTO 2022R74KBC</w:t>
      </w:r>
      <w:r w:rsidR="00672AA3">
        <w:rPr>
          <w:rFonts w:eastAsia="Calibri" w:cstheme="minorHAnsi"/>
          <w:b/>
          <w:bCs/>
          <w:iCs/>
          <w:sz w:val="21"/>
          <w:szCs w:val="21"/>
        </w:rPr>
        <w:t>-</w:t>
      </w:r>
      <w:r w:rsidR="00672AA3" w:rsidRPr="00EE26AF">
        <w:rPr>
          <w:rFonts w:eastAsia="Calibri" w:cstheme="minorHAnsi"/>
          <w:b/>
          <w:bCs/>
          <w:iCs/>
          <w:sz w:val="21"/>
          <w:szCs w:val="21"/>
        </w:rPr>
        <w:t xml:space="preserve"> TITOLO “PSOriasis BIOmarkers identikit-PSOBIO Identikit”</w:t>
      </w:r>
      <w:r w:rsidR="00672AA3">
        <w:rPr>
          <w:rFonts w:eastAsia="Calibri" w:cstheme="minorHAnsi"/>
          <w:b/>
          <w:bCs/>
          <w:iCs/>
          <w:sz w:val="21"/>
          <w:szCs w:val="21"/>
        </w:rPr>
        <w:t>,</w:t>
      </w:r>
      <w:r w:rsidR="00672AA3" w:rsidRPr="00EE26AF">
        <w:rPr>
          <w:rFonts w:eastAsia="Calibri" w:cstheme="minorHAnsi"/>
          <w:b/>
          <w:bCs/>
          <w:iCs/>
          <w:sz w:val="21"/>
          <w:szCs w:val="21"/>
        </w:rPr>
        <w:t xml:space="preserve"> CUP B53D23020670006</w:t>
      </w:r>
    </w:p>
    <w:p w14:paraId="3855D198" w14:textId="62CA83CE" w:rsidR="00F3204C" w:rsidRPr="008F6C7A" w:rsidRDefault="00F3204C" w:rsidP="00DE027D">
      <w:pPr>
        <w:jc w:val="both"/>
        <w:rPr>
          <w:rFonts w:cstheme="minorHAnsi"/>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BF1E86" w:rsidRDefault="009C6FC8" w:rsidP="00281B9E">
      <w:pPr>
        <w:jc w:val="both"/>
        <w:rPr>
          <w:rFonts w:cstheme="minorHAnsi"/>
          <w:sz w:val="10"/>
          <w:szCs w:val="10"/>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BF1E86" w:rsidRDefault="009C6FC8" w:rsidP="00281B9E">
      <w:pPr>
        <w:jc w:val="both"/>
        <w:rPr>
          <w:rFonts w:cstheme="minorHAnsi"/>
          <w:sz w:val="10"/>
          <w:szCs w:val="10"/>
        </w:rPr>
      </w:pPr>
    </w:p>
    <w:p w14:paraId="0CFD4C15" w14:textId="77777777" w:rsidR="009C6FC8" w:rsidRPr="00BF1E86" w:rsidRDefault="009C6FC8" w:rsidP="00281B9E">
      <w:pPr>
        <w:jc w:val="center"/>
        <w:rPr>
          <w:rFonts w:cstheme="minorHAnsi"/>
          <w:b/>
          <w:bCs/>
          <w:sz w:val="10"/>
          <w:szCs w:val="10"/>
        </w:rPr>
      </w:pPr>
      <w:r w:rsidRPr="008F6C7A">
        <w:rPr>
          <w:rFonts w:cstheme="minorHAnsi"/>
          <w:b/>
          <w:bCs/>
          <w:sz w:val="21"/>
          <w:szCs w:val="21"/>
        </w:rPr>
        <w:t>DICHIARA</w:t>
      </w:r>
    </w:p>
    <w:p w14:paraId="6C5C6A3D" w14:textId="77777777" w:rsidR="009C6FC8" w:rsidRPr="00BF1E86" w:rsidRDefault="009C6FC8" w:rsidP="00281B9E">
      <w:pPr>
        <w:jc w:val="both"/>
        <w:rPr>
          <w:rFonts w:cstheme="minorHAnsi"/>
          <w:sz w:val="10"/>
          <w:szCs w:val="10"/>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BF1E86" w:rsidRDefault="009C6FC8" w:rsidP="00281B9E">
      <w:pPr>
        <w:jc w:val="both"/>
        <w:rPr>
          <w:rFonts w:cstheme="minorHAnsi"/>
          <w:sz w:val="10"/>
          <w:szCs w:val="10"/>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w:t>
      </w:r>
      <w:bookmarkStart w:id="0" w:name="_GoBack"/>
      <w:bookmarkEnd w:id="0"/>
      <w:r w:rsidRPr="008F6C7A">
        <w:rPr>
          <w:rFonts w:cstheme="minorHAnsi"/>
          <w:sz w:val="21"/>
          <w:szCs w:val="21"/>
        </w:rPr>
        <w:t>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BF1E86">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FC85" w14:textId="77777777" w:rsidR="006D6E09" w:rsidRDefault="006D6E09" w:rsidP="00A20920">
      <w:r>
        <w:separator/>
      </w:r>
    </w:p>
  </w:endnote>
  <w:endnote w:type="continuationSeparator" w:id="0">
    <w:p w14:paraId="4D4FBEFE" w14:textId="77777777" w:rsidR="006D6E09" w:rsidRDefault="006D6E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35ED" w14:textId="77777777" w:rsidR="00BF1E86" w:rsidRDefault="00BF1E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0E648D29"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672AA3">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672AA3">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2A90" w14:textId="77777777" w:rsidR="00BF1E86" w:rsidRDefault="00BF1E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67A0A" w14:textId="77777777" w:rsidR="006D6E09" w:rsidRDefault="006D6E09" w:rsidP="00A20920">
      <w:r>
        <w:separator/>
      </w:r>
    </w:p>
  </w:footnote>
  <w:footnote w:type="continuationSeparator" w:id="0">
    <w:p w14:paraId="36C72752" w14:textId="77777777" w:rsidR="006D6E09" w:rsidRDefault="006D6E0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3E75" w14:textId="77777777" w:rsidR="00BF1E86" w:rsidRDefault="00BF1E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val="en-US"/>
      </w:rPr>
      <w:drawing>
        <wp:anchor distT="0" distB="0" distL="114300" distR="114300" simplePos="0" relativeHeight="251656704" behindDoc="0" locked="0" layoutInCell="1" allowOverlap="1" wp14:anchorId="42240146" wp14:editId="44819A2E">
          <wp:simplePos x="0" y="0"/>
          <wp:positionH relativeFrom="margin">
            <wp:posOffset>-597260</wp:posOffset>
          </wp:positionH>
          <wp:positionV relativeFrom="margin">
            <wp:posOffset>-1267299</wp:posOffset>
          </wp:positionV>
          <wp:extent cx="7424382" cy="1004528"/>
          <wp:effectExtent l="0" t="0" r="5715" b="571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7161" cy="1006257"/>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A1EE" w14:textId="77777777" w:rsidR="00BF1E86" w:rsidRDefault="00BF1E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72AA3"/>
    <w:rsid w:val="00696AC7"/>
    <w:rsid w:val="006D1D52"/>
    <w:rsid w:val="006D6E09"/>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7C54"/>
    <w:rsid w:val="00BE13E7"/>
    <w:rsid w:val="00BF1E86"/>
    <w:rsid w:val="00BF6CD1"/>
    <w:rsid w:val="00C22C77"/>
    <w:rsid w:val="00C303D3"/>
    <w:rsid w:val="00C41FB1"/>
    <w:rsid w:val="00C45421"/>
    <w:rsid w:val="00C468BB"/>
    <w:rsid w:val="00C53C10"/>
    <w:rsid w:val="00C64AB3"/>
    <w:rsid w:val="00C65DA0"/>
    <w:rsid w:val="00C913E7"/>
    <w:rsid w:val="00CA59BB"/>
    <w:rsid w:val="00CB5289"/>
    <w:rsid w:val="00CC099E"/>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1CF8737-5638-4F18-8198-262CCEEF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Debora</cp:lastModifiedBy>
  <cp:revision>2</cp:revision>
  <cp:lastPrinted>2023-11-10T11:06:00Z</cp:lastPrinted>
  <dcterms:created xsi:type="dcterms:W3CDTF">2024-06-06T15:06:00Z</dcterms:created>
  <dcterms:modified xsi:type="dcterms:W3CDTF">2024-06-06T15:06:00Z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