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DEF7"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PATTO DI INTEGRITÀ</w:t>
      </w:r>
    </w:p>
    <w:p w14:paraId="27957B41"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TRA IL CONSIGLIO NAZIONALE DELLE RICERCHE E GLI OPERATORI ECONOMICI PARTECIPANTI ALLE PROCEDURE DI AFFIDAMENTO DI</w:t>
      </w:r>
      <w:r>
        <w:rPr>
          <w:rFonts w:ascii="Century Gothic" w:eastAsia="Century Gothic" w:hAnsi="Century Gothic" w:cs="Century Gothic"/>
          <w:color w:val="FF0000"/>
        </w:rPr>
        <w:t xml:space="preserve"> </w:t>
      </w:r>
      <w:r>
        <w:rPr>
          <w:rFonts w:ascii="Century Gothic" w:eastAsia="Century Gothic" w:hAnsi="Century Gothic" w:cs="Century Gothic"/>
        </w:rPr>
        <w:t>SERVIZI E FORNITURE AI SENSI DEL D.LGS. 36/2023</w:t>
      </w:r>
    </w:p>
    <w:p w14:paraId="2CA63811" w14:textId="62B26A7E" w:rsidR="007B02F4" w:rsidRDefault="00D1761E" w:rsidP="006147F0">
      <w:pPr>
        <w:pStyle w:val="Intestazione"/>
        <w:rPr>
          <w:rFonts w:ascii="Century Gothic" w:eastAsia="Century Gothic" w:hAnsi="Century Gothic" w:cs="Century Gothic"/>
          <w:b/>
          <w:color w:val="FF0000"/>
        </w:rPr>
      </w:pPr>
      <w:r>
        <w:rPr>
          <w:rFonts w:ascii="Century Gothic" w:eastAsia="Century Gothic" w:hAnsi="Century Gothic" w:cs="Century Gothic"/>
        </w:rPr>
        <w:t xml:space="preserve">relativo alla PROCEDURA DI AFFIDAMENTO AI SENSI DELL’ART. 50, COMMA 1 LETT. B DEL D. LGS. N. 36/2003 </w:t>
      </w:r>
      <w:r w:rsidR="006147F0" w:rsidRPr="006147F0">
        <w:rPr>
          <w:rFonts w:ascii="Century Gothic" w:eastAsia="Century Gothic" w:hAnsi="Century Gothic" w:cs="Century Gothic"/>
          <w:b/>
          <w:color w:val="FF0000"/>
        </w:rPr>
        <w:t>del Servizio Assicurazione Semestrale RCA 2024 (decorrenza 27/06/2024) RENAULT TWIZY targato DY94199 veicolo di servizio AdRMi3, nell’ambito del progetto</w:t>
      </w:r>
      <w:r w:rsidR="006147F0">
        <w:rPr>
          <w:rFonts w:ascii="Century Gothic" w:eastAsia="Century Gothic" w:hAnsi="Century Gothic" w:cs="Century Gothic"/>
          <w:b/>
          <w:color w:val="FF0000"/>
        </w:rPr>
        <w:t xml:space="preserve"> </w:t>
      </w:r>
      <w:r w:rsidR="006147F0" w:rsidRPr="006147F0">
        <w:rPr>
          <w:rFonts w:ascii="Century Gothic" w:eastAsia="Century Gothic" w:hAnsi="Century Gothic" w:cs="Century Gothic"/>
          <w:b/>
          <w:color w:val="FF0000"/>
        </w:rPr>
        <w:t>DTA.GA001.001.</w:t>
      </w:r>
      <w:r w:rsidR="006147F0">
        <w:rPr>
          <w:rFonts w:ascii="Century Gothic" w:eastAsia="Century Gothic" w:hAnsi="Century Gothic" w:cs="Century Gothic"/>
          <w:b/>
          <w:color w:val="FF0000"/>
        </w:rPr>
        <w:t xml:space="preserve"> </w:t>
      </w:r>
      <w:r w:rsidR="006147F0" w:rsidRPr="006147F0">
        <w:rPr>
          <w:rFonts w:ascii="Century Gothic" w:eastAsia="Century Gothic" w:hAnsi="Century Gothic" w:cs="Century Gothic"/>
          <w:b/>
          <w:color w:val="FF0000"/>
        </w:rPr>
        <w:t xml:space="preserve">URL FASCICOLO CONTRATTO </w:t>
      </w:r>
      <w:hyperlink r:id="rId7" w:history="1">
        <w:r w:rsidR="006147F0" w:rsidRPr="00021B52">
          <w:rPr>
            <w:rStyle w:val="Collegamentoipertestuale"/>
            <w:rFonts w:ascii="Century Gothic" w:eastAsia="Century Gothic" w:hAnsi="Century Gothic" w:cs="Century Gothic"/>
            <w:b/>
          </w:rPr>
          <w:t>https://www.urp.cnr.it/183209-2024</w:t>
        </w:r>
      </w:hyperlink>
      <w:r w:rsidR="006147F0">
        <w:rPr>
          <w:rFonts w:ascii="Century Gothic" w:eastAsia="Century Gothic" w:hAnsi="Century Gothic" w:cs="Century Gothic"/>
          <w:b/>
          <w:color w:val="FF0000"/>
        </w:rPr>
        <w:t xml:space="preserve"> </w:t>
      </w:r>
      <w:r w:rsidR="006147F0" w:rsidRPr="006147F0">
        <w:rPr>
          <w:rFonts w:ascii="Century Gothic" w:eastAsia="Century Gothic" w:hAnsi="Century Gothic" w:cs="Century Gothic"/>
          <w:b/>
          <w:color w:val="FF0000"/>
        </w:rPr>
        <w:t xml:space="preserve"> </w:t>
      </w:r>
    </w:p>
    <w:p w14:paraId="365480EB" w14:textId="77777777" w:rsidR="006147F0" w:rsidRPr="006147F0" w:rsidRDefault="006147F0" w:rsidP="006147F0">
      <w:pPr>
        <w:pStyle w:val="Intestazione"/>
        <w:rPr>
          <w:rFonts w:ascii="Century Gothic" w:eastAsia="Century Gothic" w:hAnsi="Century Gothic" w:cs="Century Gothic"/>
          <w:b/>
          <w:color w:val="FF0000"/>
          <w:sz w:val="10"/>
          <w:szCs w:val="10"/>
        </w:rPr>
      </w:pPr>
    </w:p>
    <w:p w14:paraId="7FC1BAA4"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TRA</w:t>
      </w:r>
    </w:p>
    <w:p w14:paraId="462216F2"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L’AREA DELLA RICERCA DI MILANO 3 BICOCCA del CNR - C.F. 80054330586 (di seguito denominato CNR o Amministrazione) – in persona del RESPONSABILE ARCH. CESARE CIOTTI;</w:t>
      </w:r>
    </w:p>
    <w:p w14:paraId="24D71503"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E</w:t>
      </w:r>
    </w:p>
    <w:p w14:paraId="47749A40" w14:textId="1FD8BD6D" w:rsidR="007B02F4" w:rsidRPr="006147F0" w:rsidRDefault="00D1761E" w:rsidP="006147F0">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L’operatore economico</w:t>
      </w:r>
      <w:r>
        <w:rPr>
          <w:rFonts w:ascii="Century Gothic" w:eastAsia="Century Gothic" w:hAnsi="Century Gothic" w:cs="Century Gothic"/>
        </w:rPr>
        <w:t xml:space="preserve"> </w:t>
      </w:r>
      <w:r w:rsidR="006147F0">
        <w:rPr>
          <w:rFonts w:ascii="Century Gothic" w:eastAsia="Century Gothic" w:hAnsi="Century Gothic" w:cs="Century Gothic"/>
          <w:b/>
          <w:color w:val="FF0000"/>
        </w:rPr>
        <w:t>GENERALI SPA – Ag. Milano Liberazione</w:t>
      </w:r>
      <w:r>
        <w:rPr>
          <w:rFonts w:ascii="Century Gothic" w:eastAsia="Century Gothic" w:hAnsi="Century Gothic" w:cs="Century Gothic"/>
          <w:b/>
          <w:color w:val="FF0000"/>
        </w:rPr>
        <w:t xml:space="preserve"> </w:t>
      </w:r>
      <w:r>
        <w:rPr>
          <w:rFonts w:ascii="Century Gothic" w:eastAsia="Century Gothic" w:hAnsi="Century Gothic" w:cs="Century Gothic"/>
          <w:color w:val="000000"/>
        </w:rPr>
        <w:t>(di   seguito Operatore Economico) con sede legale in […] C.F./ P. IVA […]  rappresentato da […] in qualità di […]</w:t>
      </w:r>
    </w:p>
    <w:p w14:paraId="5F4E5C1E"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VISTO</w:t>
      </w:r>
    </w:p>
    <w:p w14:paraId="5C30E70E"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l’art.1, comma 17, della Legge 6 novembre 2012, n.190, recante “Disposizioni per la prevenzione e la repressione della corruzione e dell’illegalità nella pubblica Amministrazione”;</w:t>
      </w:r>
    </w:p>
    <w:p w14:paraId="5B1CDD19"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il Piano Nazionale Anticorruzione 2022 approvato dall’Autorità Nazionale Anticorruzione (di seguito denominata ANAC) con Delibera n. 7 del 17 gennaio 2023 e successivi aggiornamenti;</w:t>
      </w:r>
    </w:p>
    <w:p w14:paraId="7D5B0030"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27233829"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Piano Integrato di Attività e Organizzazione (PIAO) 2023-2025 del Consiglio Nazionale delle Ricerche (CNR), adottato con delibera del Consiglio di Amministrazione n. 77/2023 del 21 marzo 2023;</w:t>
      </w:r>
    </w:p>
    <w:p w14:paraId="0D2E4701"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il D.P.R. 16 aprile 2013, n. 62, con il quale è stato emanato il “Regolamento recante codice di comportamento dei dipendenti pubblici, a norma dell’art. 54 del decreto legislativo 30 marzo 2001, n. 165”;</w:t>
      </w:r>
    </w:p>
    <w:p w14:paraId="43669721"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il Codice di comportamento dei dipendenti del CNR, adottato con delibera del Consiglio di amministrazione n. 132/2014 del 10 luglio 2014, aggiornato con delibera n. 137/2017 del 17 ottobre 2017;</w:t>
      </w:r>
    </w:p>
    <w:p w14:paraId="51C09571"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L’AMMINISTRAZIONE e L’OPERATORE ECONOMICO CONVENGONO QUANTO SEGUE</w:t>
      </w:r>
    </w:p>
    <w:p w14:paraId="643202B0" w14:textId="77777777" w:rsidR="007B02F4" w:rsidRDefault="00D1761E">
      <w:pPr>
        <w:spacing w:after="0"/>
        <w:jc w:val="center"/>
        <w:rPr>
          <w:rFonts w:ascii="Century Gothic" w:eastAsia="Century Gothic" w:hAnsi="Century Gothic" w:cs="Century Gothic"/>
          <w:b/>
        </w:rPr>
      </w:pPr>
      <w:r>
        <w:rPr>
          <w:rFonts w:ascii="Century Gothic" w:eastAsia="Century Gothic" w:hAnsi="Century Gothic" w:cs="Century Gothic"/>
          <w:b/>
        </w:rPr>
        <w:t>Articolo 1</w:t>
      </w:r>
    </w:p>
    <w:p w14:paraId="6D9E16B1"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(Finalità ed ambito di applicazione)</w:t>
      </w:r>
    </w:p>
    <w:p w14:paraId="64D96EB2"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xml:space="preserve">1. Il presente Patto di integrità rappresenta una misura di prevenzione nei confronti di pratiche corruttive, </w:t>
      </w:r>
      <w:proofErr w:type="spellStart"/>
      <w:r>
        <w:rPr>
          <w:rFonts w:ascii="Century Gothic" w:eastAsia="Century Gothic" w:hAnsi="Century Gothic" w:cs="Century Gothic"/>
        </w:rPr>
        <w:t>concussive</w:t>
      </w:r>
      <w:proofErr w:type="spellEnd"/>
      <w:r>
        <w:rPr>
          <w:rFonts w:ascii="Century Gothic" w:eastAsia="Century Gothic" w:hAnsi="Century Gothic" w:cs="Century Gothic"/>
        </w:rPr>
        <w:t xml:space="preserve"> o comunque tendenti ad inficiare il corretto svolgimento dell’azione amministrativa nell’ambito dei pubblici appalti banditi dall’Amministrazione.</w:t>
      </w:r>
    </w:p>
    <w:p w14:paraId="0478A02C"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lastRenderedPageBreak/>
        <w:t>2. Nel Patto sono stabilite reciproche e formali obbligazioni tra l’Amministrazione ed ogni Operatore Economico partecipante alla procedura di gara ed eventualmente aggiudicatario della stessa, al fine di conformare i propri comportamenti ai principi di lealtà, trasparenza e correttezza in tutte le fasi dell’appalto, dalla partecipazione alla esecuzione contrattuale.</w:t>
      </w:r>
    </w:p>
    <w:p w14:paraId="22A574FA"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40856F1D" w14:textId="77777777" w:rsidR="007B02F4" w:rsidRDefault="00D1761E">
      <w:pPr>
        <w:jc w:val="both"/>
        <w:rPr>
          <w:rFonts w:ascii="Century Gothic" w:eastAsia="Century Gothic" w:hAnsi="Century Gothic" w:cs="Century Gothic"/>
          <w:b/>
        </w:rPr>
      </w:pPr>
      <w:r>
        <w:rPr>
          <w:rFonts w:ascii="Century Gothic" w:eastAsia="Century Gothic" w:hAnsi="Century Gothic" w:cs="Century Gothic"/>
        </w:rPr>
        <w:t>4. Il presente Patto trova applicazione in tutte le procedure di gara sopra e sottosoglia comunitaria</w:t>
      </w:r>
      <w:r>
        <w:rPr>
          <w:rFonts w:ascii="Century Gothic" w:eastAsia="Century Gothic" w:hAnsi="Century Gothic" w:cs="Century Gothic"/>
          <w:b/>
        </w:rPr>
        <w:t xml:space="preserve">, </w:t>
      </w:r>
      <w:r>
        <w:rPr>
          <w:rFonts w:ascii="Century Gothic" w:eastAsia="Century Gothic" w:hAnsi="Century Gothic" w:cs="Century Gothic"/>
        </w:rPr>
        <w:t>salvo che per l’affidamento specifico sussista già un apposito Patto di integrità predisposto da altro soggetto giuridico (ad es. Consip). Nelle procedure sottosoglia si intendono ricompresi anche gli affidamenti diretti effettuati entro</w:t>
      </w:r>
      <w:r>
        <w:rPr>
          <w:rFonts w:ascii="Century Gothic" w:eastAsia="Century Gothic" w:hAnsi="Century Gothic" w:cs="Century Gothic"/>
          <w:color w:val="FF0000"/>
        </w:rPr>
        <w:t xml:space="preserve"> </w:t>
      </w:r>
      <w:r>
        <w:rPr>
          <w:rFonts w:ascii="Century Gothic" w:eastAsia="Century Gothic" w:hAnsi="Century Gothic" w:cs="Century Gothic"/>
        </w:rPr>
        <w:t>il limite dei 140.000,00 euro (centoquarantamila euro/00)</w:t>
      </w:r>
      <w:r>
        <w:rPr>
          <w:rFonts w:ascii="Century Gothic" w:eastAsia="Century Gothic" w:hAnsi="Century Gothic" w:cs="Century Gothic"/>
          <w:b/>
        </w:rPr>
        <w:t>.</w:t>
      </w:r>
    </w:p>
    <w:p w14:paraId="5A0492A3"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xml:space="preserve">5. Esso 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già menzionate procedure di gara. </w:t>
      </w:r>
    </w:p>
    <w:p w14:paraId="7C7A4EA7"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6</w:t>
      </w:r>
      <w:r>
        <w:rPr>
          <w:rFonts w:ascii="Century Gothic" w:eastAsia="Century Gothic" w:hAnsi="Century Gothic" w:cs="Century Gothic"/>
          <w:b/>
        </w:rPr>
        <w:t xml:space="preserve">. </w:t>
      </w:r>
      <w:r>
        <w:rPr>
          <w:rFonts w:ascii="Century Gothic" w:eastAsia="Century Gothic" w:hAnsi="Century Gothic" w:cs="Century Gothic"/>
        </w:rPr>
        <w:t>Il Patto di integrità, altresì, regola i comportamenti di ogni soggetto dell’Amministrazione impiegato – sotto qualunque forma di rapporto contrattuale previsto dalla vigente normativa – nell’ambito delle procedure di gara, nonché nella fase di esecuzione del conseguente contratto. I medesimi soggetti sono, altresì, a conoscenza del contenuto del presente Patto d’Integrità, il cui spirito condividono pienamente, nonché delle sanzioni previste a loro carico in caso di mancato rispetto dello stesso.</w:t>
      </w:r>
    </w:p>
    <w:p w14:paraId="7B285BE5"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xml:space="preserve">7. Il Patto, sottoscritto per accettazione dal legale rappresentante e dall’eventuale Direttore/i Tecnico/i dell’Operatore Economico, deve essere allegato alla documentazione di gara nell’ambito di qualsiasi procedura di affidamento e gestione degli appalti di forniture, servizi e lavori esperita dall’Amministrazione – ivi incluse le ipotesi di affidamento diretto – costituendo, altresì, parte integrante del conseguente contratto. </w:t>
      </w:r>
    </w:p>
    <w:p w14:paraId="565A4A5D"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xml:space="preserve">Nel caso di Consorzi o Raggruppamenti Temporanei di Imprese, il Patto va sottoscritto dal legale rappresentante del Consorzio nonché di ciascuna delle Imprese consorziate o raggruppate e dagli eventuali Direttori Tecnici. </w:t>
      </w:r>
    </w:p>
    <w:p w14:paraId="60E3BA75"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Nel caso di ricorso all’avvalimento, il Patto va sottoscritto anche dal legale rappresentante dell’ausiliaria e dall’eventuale Direttore Tecnico.</w:t>
      </w:r>
    </w:p>
    <w:p w14:paraId="1B751131"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Nel caso di subappalto – laddove consentito – il Patto va sottoscritto anche dal legale rappresentante del soggetto affidatario del subappalto medesimo, e dall’eventuale Direttore Tecnico.</w:t>
      </w:r>
    </w:p>
    <w:p w14:paraId="752153D9"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8. La presentazione del Patto, sottoscritto per accettazione incondizionata delle relative prescrizioni, costituisce per l’Operatore Economico condizione essenziale per l’ammissione alla procedura di gara, pena l’esclusione dalla medesima. La carenza della dichiarazione di accettazione del Patto di integrità o la mancata produzione dello stesso debitamente sottoscritto dal concorrente, sono regolarizzabili attraverso la procedura di soccorso istruttorio di cui all’art. 101 del Codice dei Contratti pubblici.</w:t>
      </w:r>
    </w:p>
    <w:p w14:paraId="1A9A9DE0" w14:textId="77777777" w:rsidR="007B02F4" w:rsidRDefault="007B02F4">
      <w:pPr>
        <w:spacing w:after="0"/>
        <w:jc w:val="center"/>
        <w:rPr>
          <w:rFonts w:ascii="Century Gothic" w:eastAsia="Century Gothic" w:hAnsi="Century Gothic" w:cs="Century Gothic"/>
          <w:b/>
        </w:rPr>
      </w:pPr>
    </w:p>
    <w:p w14:paraId="38A75F62" w14:textId="77777777" w:rsidR="007B02F4" w:rsidRDefault="00D1761E">
      <w:pPr>
        <w:spacing w:after="0"/>
        <w:jc w:val="center"/>
        <w:rPr>
          <w:rFonts w:ascii="Century Gothic" w:eastAsia="Century Gothic" w:hAnsi="Century Gothic" w:cs="Century Gothic"/>
          <w:b/>
        </w:rPr>
      </w:pPr>
      <w:bookmarkStart w:id="0" w:name="_heading=h.gjdgxs" w:colFirst="0" w:colLast="0"/>
      <w:bookmarkEnd w:id="0"/>
      <w:r>
        <w:rPr>
          <w:rFonts w:ascii="Century Gothic" w:eastAsia="Century Gothic" w:hAnsi="Century Gothic" w:cs="Century Gothic"/>
          <w:b/>
        </w:rPr>
        <w:lastRenderedPageBreak/>
        <w:t>Articolo 2</w:t>
      </w:r>
    </w:p>
    <w:p w14:paraId="0803179C"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(Obblighi dell’Operatore Economico)</w:t>
      </w:r>
    </w:p>
    <w:p w14:paraId="79AD6973"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1. L’Operatore Economico conforma la propria condotta ai principi di lealtà, trasparenza e correttezza.</w:t>
      </w:r>
    </w:p>
    <w:p w14:paraId="0CB3604F"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2. L’Operatore Economico si obbliga a non offrire somme di denaro, utilità, vantaggi, benefici o qualsiasi altra ricompensa, sia direttamente che indirettamente tramite intermediari, al personale dell’Amministrazione, ovvero a terzi, ai fini dell’aggiudicazione della gara o di distorcerne il corretto svolgimento, nonché ai fini dell’assegnazione del contratto o di distorcerne la corretta e regolare esecuzione.</w:t>
      </w:r>
    </w:p>
    <w:p w14:paraId="58827005"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3. L’Operatore Economico, salvi ed impregiudicati gli obblighi legali di denuncia alla competente Autorità Giudiziaria, si impegna:</w:t>
      </w:r>
    </w:p>
    <w:p w14:paraId="1F1047EF"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a) a segnalare all’Amministrazione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dell’Amministrazione stessa;</w:t>
      </w:r>
    </w:p>
    <w:p w14:paraId="4EA466AD"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b) a segnalare all’Amministrazione qualsiasi illecita richiesta o pretesa da parte di dipendenti dell’Amministrazione stessa o di chiunque possa influenzare le decisioni relative alla procedura di affidamento o all’esecuzione del contratto;</w:t>
      </w:r>
    </w:p>
    <w:p w14:paraId="1403E64C"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c) qualora i fatti di cui ai precedenti punti a) e b) ne costituiscano il presupposto, a sporgere denuncia alle Autorità competenti e di segnalare il fatto all’ANAC,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74A6B737"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xml:space="preserve">d) a non conferire incarichi o stipulare contratti con i soggetti di cui all’art. 53, comma 16-ter, del D. Lgs. n.  165/2001 e </w:t>
      </w:r>
      <w:proofErr w:type="spellStart"/>
      <w:r>
        <w:rPr>
          <w:rFonts w:ascii="Century Gothic" w:eastAsia="Century Gothic" w:hAnsi="Century Gothic" w:cs="Century Gothic"/>
        </w:rPr>
        <w:t>s.m.i.</w:t>
      </w:r>
      <w:proofErr w:type="spellEnd"/>
    </w:p>
    <w:p w14:paraId="3ACFAF5E"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Agli stessi obblighi è tenuto anche l’aggiudicatario della gara nella fase dell’esecuzione del contratto, nonché tutti gli eventuali subcontraenti della stessa. A tal fine la clausola che prevede il rispetto degli obblighi di cui al presente Patto di integrità, sarà inserita nei contratti stipulati dall’Operatore economico con i propri subcontraenti.</w:t>
      </w:r>
    </w:p>
    <w:p w14:paraId="4C8782B0"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4. Il legale rappresentante dell’Operatore Economico informa prontamente e puntualmente tutto il personale di cui si avvale (dipendenti, consulenti, collaboratori e/o subappaltatori) circa il presente Patto di integrità e gli obblighi in esso contenuti e vigila scrupolosamente sulla loro osservanza.</w:t>
      </w:r>
    </w:p>
    <w:p w14:paraId="05AD761A"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5. Il legale rappresentante dell’Operatore Economico segnala eventuali situazioni di conflitto di interesse, di cui sia a conoscenza, rispetto al personale dell’Amministrazione.</w:t>
      </w:r>
    </w:p>
    <w:p w14:paraId="6A9886F4"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6. Il legale rappresentante dell’Operatore Economico dichiara:</w:t>
      </w:r>
    </w:p>
    <w:p w14:paraId="787E31BA"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xml:space="preserve">- di non avere influenzato il procedimento amministrativo diretto a stabilire il contenuto del bando o di altro atto equipollente al fine di condizionare le modalità di scelta del contraente da parte dell’Amministrazione; </w:t>
      </w:r>
    </w:p>
    <w:p w14:paraId="1C46ACC6"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xml:space="preserve">- di non trovarsi in situazioni di controllo o di collegamento (formale e/o sostanziale) con altri concorrenti, tali da comportare l’imputazione delle relative offerte ad un unico centro </w:t>
      </w:r>
      <w:r>
        <w:rPr>
          <w:rFonts w:ascii="Century Gothic" w:eastAsia="Century Gothic" w:hAnsi="Century Gothic" w:cs="Century Gothic"/>
        </w:rPr>
        <w:lastRenderedPageBreak/>
        <w:t>decisionale, e che non si è accordato e non si accorderà con altri partecipanti alla gara per limitare o eludere in alcun modo la libera concorrenza;</w:t>
      </w:r>
    </w:p>
    <w:p w14:paraId="5E5EF9AD"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di non trovarsi in altre situazioni ritenute incompatibili con la partecipazione alle gare dal Codice dei Contratti pubblici, dal Codice civile ovvero dalle altre disposizioni normative vigenti;</w:t>
      </w:r>
    </w:p>
    <w:p w14:paraId="7C9D4234"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xml:space="preserve">- di non aver conferito incarichi ai soggetti di cui all’art. 53, comma 16-ter, del D. Lgs. n. 165/2001 e </w:t>
      </w:r>
      <w:proofErr w:type="spellStart"/>
      <w:r>
        <w:rPr>
          <w:rFonts w:ascii="Century Gothic" w:eastAsia="Century Gothic" w:hAnsi="Century Gothic" w:cs="Century Gothic"/>
        </w:rPr>
        <w:t>s.m.i.</w:t>
      </w:r>
      <w:proofErr w:type="spellEnd"/>
      <w:r>
        <w:rPr>
          <w:rFonts w:ascii="Century Gothic" w:eastAsia="Century Gothic" w:hAnsi="Century Gothic" w:cs="Century Gothic"/>
        </w:rPr>
        <w:t>, o di non aver stipulato contratti con i medesimi soggetti;</w:t>
      </w:r>
    </w:p>
    <w:p w14:paraId="3801B55C"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di essere consapevole che, qualora venga accertata la violazione del suddetto divieto di cui all’art. 53, comma 16-ter, del D. Lgs. n. 165/2001 verrà disposta l’immediata esclusione dalla partecipazione alla procedura d’affidamento;</w:t>
      </w:r>
    </w:p>
    <w:p w14:paraId="349756A0"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di impegnarsi a rendere noti, su richiesta dell’Amministrazione, tutti i pagamenti eseguiti e riguardanti il contratto eventualmente assegnatogli a seguito della procedura di affidamento.</w:t>
      </w:r>
    </w:p>
    <w:p w14:paraId="2CE3078D" w14:textId="77777777" w:rsidR="007B02F4" w:rsidRDefault="00D1761E">
      <w:pPr>
        <w:spacing w:after="0"/>
        <w:jc w:val="center"/>
        <w:rPr>
          <w:rFonts w:ascii="Century Gothic" w:eastAsia="Century Gothic" w:hAnsi="Century Gothic" w:cs="Century Gothic"/>
          <w:b/>
        </w:rPr>
      </w:pPr>
      <w:r>
        <w:rPr>
          <w:rFonts w:ascii="Century Gothic" w:eastAsia="Century Gothic" w:hAnsi="Century Gothic" w:cs="Century Gothic"/>
          <w:b/>
        </w:rPr>
        <w:t>Articolo 3</w:t>
      </w:r>
    </w:p>
    <w:p w14:paraId="1CA57462"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(Obblighi dell’Amministrazione)</w:t>
      </w:r>
    </w:p>
    <w:p w14:paraId="126E8402" w14:textId="77777777" w:rsidR="007B02F4" w:rsidRDefault="00D1761E">
      <w:pPr>
        <w:spacing w:after="0"/>
        <w:jc w:val="both"/>
        <w:rPr>
          <w:rFonts w:ascii="Century Gothic" w:eastAsia="Century Gothic" w:hAnsi="Century Gothic" w:cs="Century Gothic"/>
        </w:rPr>
      </w:pPr>
      <w:r>
        <w:rPr>
          <w:rFonts w:ascii="Century Gothic" w:eastAsia="Century Gothic" w:hAnsi="Century Gothic" w:cs="Century Gothic"/>
        </w:rPr>
        <w:t xml:space="preserve">1. L’Amministrazione conforma la propria condotta ai principi di lealtà, trasparenza e correttezza. </w:t>
      </w:r>
    </w:p>
    <w:p w14:paraId="34CB013E"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6AFB6A0F"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2. 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4A20A6AD"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3. L’Amministrazione attiverà le procedure di legge nei confronti del personale che non conformi il proprio operato ai principi richiamati al comma primo del presente articolo</w:t>
      </w:r>
      <w:r>
        <w:rPr>
          <w:rFonts w:ascii="Century Gothic" w:eastAsia="Century Gothic" w:hAnsi="Century Gothic" w:cs="Century Gothic"/>
          <w:b/>
        </w:rPr>
        <w:t xml:space="preserve">, </w:t>
      </w:r>
      <w:r>
        <w:rPr>
          <w:rFonts w:ascii="Century Gothic" w:eastAsia="Century Gothic" w:hAnsi="Century Gothic" w:cs="Century Gothic"/>
        </w:rPr>
        <w:t>alle disposizioni contenute nel codice di comportamento dei dipendenti pubblici di cui al D.P.R. 16 aprile 2013, n.62, nonché a quelle prescritte nel Codice di comportamento dei dipendenti dell’Amministrazione.</w:t>
      </w:r>
    </w:p>
    <w:p w14:paraId="61A723F8"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4. L’Amministrazione aprirà un procedimento istruttorio per la verifica di ogni eventuale segnalazione ricevuta in merito a condotte anomale attuate dal proprio personale in relazione al procedimento di gara ed alle fasi di esecuzione del contratto.</w:t>
      </w:r>
    </w:p>
    <w:p w14:paraId="641BDB3A"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5. L’Amministrazione formalizza l’accertamento delle violazioni del presente Patto di integrità, nel rispetto del principio del contraddittorio.</w:t>
      </w:r>
    </w:p>
    <w:p w14:paraId="1BB61CC2" w14:textId="77777777" w:rsidR="007B02F4" w:rsidRDefault="00D1761E">
      <w:pPr>
        <w:spacing w:after="0"/>
        <w:jc w:val="center"/>
        <w:rPr>
          <w:rFonts w:ascii="Century Gothic" w:eastAsia="Century Gothic" w:hAnsi="Century Gothic" w:cs="Century Gothic"/>
          <w:b/>
        </w:rPr>
      </w:pPr>
      <w:r>
        <w:rPr>
          <w:rFonts w:ascii="Century Gothic" w:eastAsia="Century Gothic" w:hAnsi="Century Gothic" w:cs="Century Gothic"/>
          <w:b/>
        </w:rPr>
        <w:t>Articolo 4</w:t>
      </w:r>
    </w:p>
    <w:p w14:paraId="347A0C67"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 xml:space="preserve">(Violazione degli obblighi assunti con il Patto di integrità) </w:t>
      </w:r>
    </w:p>
    <w:p w14:paraId="493AA1A9"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xml:space="preserve">1. La violazione degli obblighi di cui al precedente art. 2 è dichiarata all’esito di un procedimento di verifica nel corso del quale verrà garantito adeguato contraddittorio con l’Operatore economico coinvolto nel procedimento. </w:t>
      </w:r>
    </w:p>
    <w:p w14:paraId="6958ACDB"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b/>
        </w:rPr>
        <w:t xml:space="preserve">. </w:t>
      </w:r>
      <w:r>
        <w:rPr>
          <w:rFonts w:ascii="Century Gothic" w:eastAsia="Century Gothic" w:hAnsi="Century Gothic" w:cs="Century Gothic"/>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09EC2CF2"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lastRenderedPageBreak/>
        <w:t>- esclusione dalla procedura di affidamento ed escussione della cauzione, se la violazione è accertata nella fase precedente all’aggiudicazione dell’appalto;</w:t>
      </w:r>
    </w:p>
    <w:p w14:paraId="4484FC28"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revoca dell’aggiudicazione ed escussione della cauzione se la violazione è accertata nella fase successiva all’aggiudicazione dell’appalto, ma precedente alla stipula del contratto;</w:t>
      </w:r>
    </w:p>
    <w:p w14:paraId="3CCA65DF"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risoluzione del contratto, ai sensi e per gli effetti dell’art. 1456 del Codice civile, ed escussione della cauzione definitiva, se la violazione è accertata nella fase di esecuzione dell’appalto;</w:t>
      </w:r>
    </w:p>
    <w:p w14:paraId="3BB2DF99"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 segnalazione del fatto all’ANAC ed alle competenti Autorità.</w:t>
      </w:r>
    </w:p>
    <w:p w14:paraId="5838C447"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3. 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14CEAD84"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4. In ogni caso, l’accertamento di una violazione degli obblighi assunti con il presente Patto di Integrità costituisce legittima causa di esclusione dell’Operatore Economico dalla partecipazione alle procedure di affidamento degli appalti di lavori, forniture e servizi bandite dall’Amministrazione per il successivo anno.</w:t>
      </w:r>
    </w:p>
    <w:p w14:paraId="57E34CA3" w14:textId="77777777" w:rsidR="007B02F4" w:rsidRDefault="00D1761E">
      <w:pPr>
        <w:spacing w:after="0"/>
        <w:jc w:val="center"/>
        <w:rPr>
          <w:rFonts w:ascii="Century Gothic" w:eastAsia="Century Gothic" w:hAnsi="Century Gothic" w:cs="Century Gothic"/>
          <w:b/>
        </w:rPr>
      </w:pPr>
      <w:r>
        <w:rPr>
          <w:rFonts w:ascii="Century Gothic" w:eastAsia="Century Gothic" w:hAnsi="Century Gothic" w:cs="Century Gothic"/>
          <w:b/>
        </w:rPr>
        <w:t>Articolo 5</w:t>
      </w:r>
    </w:p>
    <w:p w14:paraId="45FFDF15"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(Efficacia del patto di integrità)</w:t>
      </w:r>
    </w:p>
    <w:p w14:paraId="041E089E"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Il presente Patto di integrità e le relative sanzioni si applicano dall’avvio della procedura di affidamento sino alla completa esecuzione del contratto assegnato a seguito della procedura medesima.</w:t>
      </w:r>
    </w:p>
    <w:p w14:paraId="0F3D3CAA" w14:textId="77777777" w:rsidR="007B02F4" w:rsidRDefault="00D1761E">
      <w:pPr>
        <w:spacing w:after="0"/>
        <w:jc w:val="center"/>
        <w:rPr>
          <w:rFonts w:ascii="Century Gothic" w:eastAsia="Century Gothic" w:hAnsi="Century Gothic" w:cs="Century Gothic"/>
          <w:b/>
        </w:rPr>
      </w:pPr>
      <w:r>
        <w:rPr>
          <w:rFonts w:ascii="Century Gothic" w:eastAsia="Century Gothic" w:hAnsi="Century Gothic" w:cs="Century Gothic"/>
          <w:b/>
        </w:rPr>
        <w:t>Articolo 6</w:t>
      </w:r>
    </w:p>
    <w:p w14:paraId="3B4D0021" w14:textId="77777777" w:rsidR="007B02F4" w:rsidRDefault="00D1761E">
      <w:pPr>
        <w:jc w:val="center"/>
        <w:rPr>
          <w:rFonts w:ascii="Century Gothic" w:eastAsia="Century Gothic" w:hAnsi="Century Gothic" w:cs="Century Gothic"/>
          <w:b/>
        </w:rPr>
      </w:pPr>
      <w:r>
        <w:rPr>
          <w:rFonts w:ascii="Century Gothic" w:eastAsia="Century Gothic" w:hAnsi="Century Gothic" w:cs="Century Gothic"/>
          <w:b/>
        </w:rPr>
        <w:t>(Controversie)</w:t>
      </w:r>
    </w:p>
    <w:p w14:paraId="140AB893"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Ogni controversia relativa all’interpretazione ed alla esecuzione del presente Patto di Integrità fra l’Amministrazione e gli Operatori Economici, ovvero tra gli stessi Operatori Economici sarà risolta, in via esclusiva, dal Foro di Roma.</w:t>
      </w:r>
    </w:p>
    <w:p w14:paraId="7A5796EC" w14:textId="77777777" w:rsidR="007B02F4" w:rsidRDefault="00D1761E">
      <w:pPr>
        <w:jc w:val="both"/>
        <w:rPr>
          <w:rFonts w:ascii="Century Gothic" w:eastAsia="Century Gothic" w:hAnsi="Century Gothic" w:cs="Century Gothic"/>
        </w:rPr>
      </w:pPr>
      <w:r>
        <w:rPr>
          <w:rFonts w:ascii="Century Gothic" w:eastAsia="Century Gothic" w:hAnsi="Century Gothic" w:cs="Century Gothic"/>
        </w:rPr>
        <w:t>Data,</w:t>
      </w:r>
    </w:p>
    <w:tbl>
      <w:tblPr>
        <w:tblStyle w:val="a0"/>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4"/>
        <w:gridCol w:w="1843"/>
        <w:gridCol w:w="3821"/>
      </w:tblGrid>
      <w:tr w:rsidR="007B02F4" w14:paraId="08792D52" w14:textId="77777777">
        <w:tc>
          <w:tcPr>
            <w:tcW w:w="3964" w:type="dxa"/>
          </w:tcPr>
          <w:p w14:paraId="0D45CC6E" w14:textId="77777777" w:rsidR="007B02F4" w:rsidRDefault="00D1761E">
            <w:pPr>
              <w:jc w:val="center"/>
              <w:rPr>
                <w:rFonts w:ascii="Century Gothic" w:eastAsia="Century Gothic" w:hAnsi="Century Gothic" w:cs="Century Gothic"/>
              </w:rPr>
            </w:pPr>
            <w:r>
              <w:rPr>
                <w:rFonts w:ascii="Century Gothic" w:eastAsia="Century Gothic" w:hAnsi="Century Gothic" w:cs="Century Gothic"/>
              </w:rPr>
              <w:t>L’Amministrazione</w:t>
            </w:r>
          </w:p>
        </w:tc>
        <w:tc>
          <w:tcPr>
            <w:tcW w:w="1843" w:type="dxa"/>
          </w:tcPr>
          <w:p w14:paraId="49C052A1" w14:textId="77777777" w:rsidR="007B02F4" w:rsidRDefault="007B02F4">
            <w:pPr>
              <w:jc w:val="center"/>
              <w:rPr>
                <w:rFonts w:ascii="Century Gothic" w:eastAsia="Century Gothic" w:hAnsi="Century Gothic" w:cs="Century Gothic"/>
              </w:rPr>
            </w:pPr>
          </w:p>
        </w:tc>
        <w:tc>
          <w:tcPr>
            <w:tcW w:w="3821" w:type="dxa"/>
          </w:tcPr>
          <w:p w14:paraId="722ECCF1" w14:textId="77777777" w:rsidR="007B02F4" w:rsidRDefault="00D1761E">
            <w:pPr>
              <w:jc w:val="center"/>
              <w:rPr>
                <w:rFonts w:ascii="Century Gothic" w:eastAsia="Century Gothic" w:hAnsi="Century Gothic" w:cs="Century Gothic"/>
              </w:rPr>
            </w:pPr>
            <w:r>
              <w:rPr>
                <w:rFonts w:ascii="Century Gothic" w:eastAsia="Century Gothic" w:hAnsi="Century Gothic" w:cs="Century Gothic"/>
              </w:rPr>
              <w:t>L’Operatore Economico</w:t>
            </w:r>
          </w:p>
        </w:tc>
      </w:tr>
      <w:tr w:rsidR="007B02F4" w14:paraId="3929C537" w14:textId="77777777">
        <w:tc>
          <w:tcPr>
            <w:tcW w:w="3964" w:type="dxa"/>
          </w:tcPr>
          <w:p w14:paraId="2BCC4854" w14:textId="77777777" w:rsidR="007B02F4" w:rsidRDefault="007B02F4">
            <w:pPr>
              <w:jc w:val="both"/>
              <w:rPr>
                <w:rFonts w:ascii="Century Gothic" w:eastAsia="Century Gothic" w:hAnsi="Century Gothic" w:cs="Century Gothic"/>
              </w:rPr>
            </w:pPr>
          </w:p>
        </w:tc>
        <w:tc>
          <w:tcPr>
            <w:tcW w:w="1843" w:type="dxa"/>
          </w:tcPr>
          <w:p w14:paraId="56FF986E" w14:textId="77777777" w:rsidR="007B02F4" w:rsidRDefault="007B02F4">
            <w:pPr>
              <w:jc w:val="both"/>
              <w:rPr>
                <w:rFonts w:ascii="Century Gothic" w:eastAsia="Century Gothic" w:hAnsi="Century Gothic" w:cs="Century Gothic"/>
              </w:rPr>
            </w:pPr>
          </w:p>
        </w:tc>
        <w:tc>
          <w:tcPr>
            <w:tcW w:w="3821" w:type="dxa"/>
          </w:tcPr>
          <w:p w14:paraId="26878C9A" w14:textId="77777777" w:rsidR="007B02F4" w:rsidRDefault="007B02F4">
            <w:pPr>
              <w:jc w:val="both"/>
              <w:rPr>
                <w:rFonts w:ascii="Century Gothic" w:eastAsia="Century Gothic" w:hAnsi="Century Gothic" w:cs="Century Gothic"/>
              </w:rPr>
            </w:pPr>
          </w:p>
        </w:tc>
      </w:tr>
      <w:tr w:rsidR="007B02F4" w14:paraId="7CEE9949" w14:textId="77777777">
        <w:tc>
          <w:tcPr>
            <w:tcW w:w="3964" w:type="dxa"/>
          </w:tcPr>
          <w:p w14:paraId="127F9D95" w14:textId="77777777" w:rsidR="007B02F4" w:rsidRDefault="00D1761E">
            <w:pPr>
              <w:jc w:val="center"/>
              <w:rPr>
                <w:rFonts w:ascii="Century Gothic" w:eastAsia="Century Gothic" w:hAnsi="Century Gothic" w:cs="Century Gothic"/>
              </w:rPr>
            </w:pPr>
            <w:r>
              <w:rPr>
                <w:rFonts w:ascii="Century Gothic" w:eastAsia="Century Gothic" w:hAnsi="Century Gothic" w:cs="Century Gothic"/>
              </w:rPr>
              <w:t>Il Direttore</w:t>
            </w:r>
          </w:p>
        </w:tc>
        <w:tc>
          <w:tcPr>
            <w:tcW w:w="1843" w:type="dxa"/>
          </w:tcPr>
          <w:p w14:paraId="44CD255C" w14:textId="77777777" w:rsidR="007B02F4" w:rsidRDefault="007B02F4">
            <w:pPr>
              <w:jc w:val="center"/>
              <w:rPr>
                <w:rFonts w:ascii="Century Gothic" w:eastAsia="Century Gothic" w:hAnsi="Century Gothic" w:cs="Century Gothic"/>
              </w:rPr>
            </w:pPr>
          </w:p>
        </w:tc>
        <w:tc>
          <w:tcPr>
            <w:tcW w:w="3821" w:type="dxa"/>
          </w:tcPr>
          <w:p w14:paraId="0D1F1829" w14:textId="77777777" w:rsidR="007B02F4" w:rsidRDefault="00D1761E">
            <w:pPr>
              <w:jc w:val="center"/>
              <w:rPr>
                <w:rFonts w:ascii="Century Gothic" w:eastAsia="Century Gothic" w:hAnsi="Century Gothic" w:cs="Century Gothic"/>
              </w:rPr>
            </w:pPr>
            <w:r>
              <w:rPr>
                <w:rFonts w:ascii="Century Gothic" w:eastAsia="Century Gothic" w:hAnsi="Century Gothic" w:cs="Century Gothic"/>
              </w:rPr>
              <w:t>Il Titolare/Legale rappresentante</w:t>
            </w:r>
          </w:p>
        </w:tc>
      </w:tr>
    </w:tbl>
    <w:p w14:paraId="687B6ECB" w14:textId="77777777" w:rsidR="007B02F4" w:rsidRDefault="007B02F4">
      <w:pPr>
        <w:spacing w:after="0"/>
        <w:ind w:left="708" w:firstLine="708"/>
        <w:jc w:val="both"/>
        <w:rPr>
          <w:rFonts w:ascii="Century Gothic" w:eastAsia="Century Gothic" w:hAnsi="Century Gothic" w:cs="Century Gothic"/>
        </w:rPr>
      </w:pPr>
    </w:p>
    <w:sectPr w:rsidR="007B02F4">
      <w:headerReference w:type="default" r:id="rId8"/>
      <w:footerReference w:type="default" r:id="rId9"/>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0063" w14:textId="77777777" w:rsidR="00A7246A" w:rsidRDefault="00A7246A">
      <w:pPr>
        <w:spacing w:after="0" w:line="240" w:lineRule="auto"/>
      </w:pPr>
      <w:r>
        <w:separator/>
      </w:r>
    </w:p>
  </w:endnote>
  <w:endnote w:type="continuationSeparator" w:id="0">
    <w:p w14:paraId="2099A4D2" w14:textId="77777777" w:rsidR="00A7246A" w:rsidRDefault="00A7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D5F0" w14:textId="77777777" w:rsidR="007B02F4" w:rsidRDefault="00D1761E">
    <w:pPr>
      <w:pBdr>
        <w:top w:val="nil"/>
        <w:left w:val="nil"/>
        <w:bottom w:val="nil"/>
        <w:right w:val="nil"/>
        <w:between w:val="nil"/>
      </w:pBdr>
      <w:tabs>
        <w:tab w:val="center" w:pos="4819"/>
        <w:tab w:val="right" w:pos="9638"/>
      </w:tabs>
      <w:spacing w:after="0" w:line="240" w:lineRule="auto"/>
      <w:rPr>
        <w:color w:val="000000"/>
      </w:rPr>
    </w:pPr>
    <w:r>
      <w:rPr>
        <w:color w:val="000000"/>
      </w:rPr>
      <w:t>Patto d’integrità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4066" w14:textId="77777777" w:rsidR="00A7246A" w:rsidRDefault="00A7246A">
      <w:pPr>
        <w:spacing w:after="0" w:line="240" w:lineRule="auto"/>
      </w:pPr>
      <w:r>
        <w:separator/>
      </w:r>
    </w:p>
  </w:footnote>
  <w:footnote w:type="continuationSeparator" w:id="0">
    <w:p w14:paraId="4F79F544" w14:textId="77777777" w:rsidR="00A7246A" w:rsidRDefault="00A7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2762" w14:textId="57A87A53" w:rsidR="007B02F4" w:rsidRPr="006147F0" w:rsidRDefault="006147F0" w:rsidP="006147F0">
    <w:pPr>
      <w:pStyle w:val="Intestazione"/>
    </w:pPr>
    <w:r w:rsidRPr="006147F0">
      <w:rPr>
        <w:rFonts w:ascii="Century Gothic" w:eastAsia="Century Gothic" w:hAnsi="Century Gothic" w:cs="Century Gothic"/>
        <w:b/>
        <w:color w:val="FF0000"/>
      </w:rPr>
      <w:t>CIG: B1EE40591B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4"/>
    <w:rsid w:val="0024675C"/>
    <w:rsid w:val="00562C1F"/>
    <w:rsid w:val="006147F0"/>
    <w:rsid w:val="007B02F4"/>
    <w:rsid w:val="00A7246A"/>
    <w:rsid w:val="00D1761E"/>
    <w:rsid w:val="00E03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52336"/>
  <w15:docId w15:val="{D61B1A4A-2F9B-438E-BD51-4576B708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03B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3BDF"/>
  </w:style>
  <w:style w:type="paragraph" w:styleId="Pidipagina">
    <w:name w:val="footer"/>
    <w:basedOn w:val="Normale"/>
    <w:link w:val="PidipaginaCarattere"/>
    <w:uiPriority w:val="99"/>
    <w:unhideWhenUsed/>
    <w:rsid w:val="00E03B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3BDF"/>
  </w:style>
  <w:style w:type="character" w:styleId="Collegamentoipertestuale">
    <w:name w:val="Hyperlink"/>
    <w:basedOn w:val="Carpredefinitoparagrafo"/>
    <w:uiPriority w:val="99"/>
    <w:unhideWhenUsed/>
    <w:rsid w:val="006147F0"/>
    <w:rPr>
      <w:color w:val="0000FF" w:themeColor="hyperlink"/>
      <w:u w:val="single"/>
    </w:rPr>
  </w:style>
  <w:style w:type="character" w:styleId="Menzionenonrisolta">
    <w:name w:val="Unresolved Mention"/>
    <w:basedOn w:val="Carpredefinitoparagrafo"/>
    <w:uiPriority w:val="99"/>
    <w:semiHidden/>
    <w:unhideWhenUsed/>
    <w:rsid w:val="00614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p.cnr.it/183209-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07u3AJ0d7dGWGcWmunF98zgeXA==">CgMxLjAyCGguZ2pkZ3hzOAByITFIc1Y2TVZDM3prTzEyMm1KT2JiQkdkUjFJclZ0c3NoeQ==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FEDERICA GRANDE</cp:lastModifiedBy>
  <cp:revision>3</cp:revision>
  <dcterms:created xsi:type="dcterms:W3CDTF">2024-05-22T15:05:00Z</dcterms:created>
  <dcterms:modified xsi:type="dcterms:W3CDTF">2024-05-31T11:50:00Z</dcterms:modified>
</cp:coreProperties>
</file>