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993FE" w14:textId="77777777" w:rsidR="00AF6D2C" w:rsidRPr="00AF6D2C" w:rsidRDefault="00AF6D2C" w:rsidP="00AF6D2C">
      <w:pPr>
        <w:autoSpaceDE w:val="0"/>
        <w:autoSpaceDN w:val="0"/>
        <w:adjustRightInd w:val="0"/>
        <w:jc w:val="both"/>
        <w:rPr>
          <w:rFonts w:ascii="Century Gothic" w:eastAsia="Calibri" w:hAnsi="Century Gothic" w:cs="Times New Roman"/>
          <w:color w:val="000000"/>
          <w:kern w:val="0"/>
          <w:sz w:val="22"/>
          <w:szCs w:val="22"/>
          <w14:ligatures w14:val="none"/>
        </w:rPr>
      </w:pPr>
      <w:r w:rsidRPr="00AF6D2C">
        <w:rPr>
          <w:rFonts w:ascii="Century Gothic" w:eastAsia="Calibri" w:hAnsi="Century Gothic" w:cs="Times New Roman"/>
          <w:color w:val="000000"/>
          <w:kern w:val="0"/>
          <w:sz w:val="22"/>
          <w:szCs w:val="22"/>
          <w14:ligatures w14:val="none"/>
        </w:rPr>
        <w:t>Il presente atto, debitamente compilato e sottoscritto dovrà essere prodotto, a pena di esclusione, insieme ai documenti di partecipazione alla procedura in oggetto e costituisce parte integrante del contratto di appalto che sarà sottoscritto a conclusione della procedura.</w:t>
      </w:r>
    </w:p>
    <w:p w14:paraId="2B0F7B26" w14:textId="77777777" w:rsidR="00AF6D2C" w:rsidRPr="00AF6D2C" w:rsidRDefault="00AF6D2C" w:rsidP="00AF6D2C">
      <w:pPr>
        <w:autoSpaceDE w:val="0"/>
        <w:autoSpaceDN w:val="0"/>
        <w:adjustRightInd w:val="0"/>
        <w:jc w:val="both"/>
        <w:rPr>
          <w:rFonts w:ascii="Century Gothic" w:eastAsia="Calibri" w:hAnsi="Century Gothic" w:cs="Times New Roman"/>
          <w:i/>
          <w:color w:val="000000"/>
          <w:kern w:val="0"/>
          <w:sz w:val="22"/>
          <w:szCs w:val="22"/>
          <w14:ligatures w14:val="none"/>
        </w:rPr>
      </w:pPr>
    </w:p>
    <w:p w14:paraId="0BF42EA9"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PATTO DI INTEGRITÀ</w:t>
      </w:r>
    </w:p>
    <w:p w14:paraId="31AEB24E"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b/>
          <w:bCs/>
          <w:kern w:val="0"/>
          <w:sz w:val="22"/>
          <w:szCs w:val="22"/>
          <w14:ligatures w14:val="none"/>
        </w:rPr>
        <w:t>TRA IL CONSIGLIO NAZIONALE DELLE RICERCHE E GLI OPERATORI ECONOMICI PARTECIPANTI ALLE PROCEDURE DI AFFIDAMENTO DI LAVORI, SERVIZI E FORNITURE AI SENSI DEL D.LGS. 36/2023.</w:t>
      </w:r>
    </w:p>
    <w:p w14:paraId="0D1FBC88" w14:textId="11C991A0" w:rsidR="00AF6D2C" w:rsidRPr="00AF6D2C" w:rsidRDefault="00AF6D2C" w:rsidP="00AF6D2C">
      <w:pPr>
        <w:autoSpaceDE w:val="0"/>
        <w:autoSpaceDN w:val="0"/>
        <w:adjustRightInd w:val="0"/>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PROCEDURA NEGOZIATA SENZA PUBBLICAZIONE DI UN BANDO, AI SENSI DELL’ART. 76, COMMA 2, LETTERA B, PUNTO 2 (INFUNGIBILITÁ), DEL D. LGS. 36/2023 PER L’AFFIDAMENTO DELLA FORNITURA DI UNA PIATTAFORMA DI MICROSCOPIA CONFOCALE RAMAN NELL’AMBITO DEL PIANO NAZIONALE DEGLI INVESTIMENTI COMPLEMENTARI (PNC) AL PIANO NAZIONALE DI RIPRESA E RESILIENZA (PNRR) PNC0000007 - FIT FOR MEDICAL ROBOTICS (ACRONIMO: FIT4MEDROB) CUP B83C22006960001 CIG </w:t>
      </w:r>
      <w:r w:rsidR="00E3621F" w:rsidRPr="00E3621F">
        <w:rPr>
          <w:rFonts w:ascii="Century Gothic" w:eastAsia="Calibri" w:hAnsi="Century Gothic" w:cs="Times New Roman"/>
          <w:kern w:val="0"/>
          <w:sz w:val="22"/>
          <w:szCs w:val="22"/>
          <w14:ligatures w14:val="none"/>
        </w:rPr>
        <w:t>B23EF04636</w:t>
      </w:r>
    </w:p>
    <w:p w14:paraId="62102861" w14:textId="77777777" w:rsidR="00AF6D2C" w:rsidRPr="00AF6D2C" w:rsidRDefault="00AF6D2C" w:rsidP="00AF6D2C">
      <w:pPr>
        <w:autoSpaceDE w:val="0"/>
        <w:autoSpaceDN w:val="0"/>
        <w:adjustRightInd w:val="0"/>
        <w:jc w:val="both"/>
        <w:rPr>
          <w:rFonts w:ascii="Century Gothic" w:eastAsia="Calibri" w:hAnsi="Century Gothic" w:cs="Times New Roman"/>
          <w:bCs/>
          <w:kern w:val="0"/>
          <w:sz w:val="22"/>
          <w:szCs w:val="22"/>
          <w14:ligatures w14:val="none"/>
        </w:rPr>
      </w:pPr>
    </w:p>
    <w:p w14:paraId="20E9F75E" w14:textId="77777777" w:rsidR="00AF6D2C" w:rsidRPr="00AF6D2C" w:rsidRDefault="00AF6D2C" w:rsidP="00AF6D2C">
      <w:pPr>
        <w:tabs>
          <w:tab w:val="left" w:pos="2505"/>
          <w:tab w:val="center" w:pos="4819"/>
        </w:tabs>
        <w:spacing w:after="160" w:line="259" w:lineRule="auto"/>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ab/>
      </w:r>
      <w:r w:rsidRPr="00AF6D2C">
        <w:rPr>
          <w:rFonts w:ascii="Century Gothic" w:eastAsia="Calibri" w:hAnsi="Century Gothic" w:cs="Times New Roman"/>
          <w:b/>
          <w:kern w:val="0"/>
          <w:sz w:val="22"/>
          <w:szCs w:val="22"/>
          <w14:ligatures w14:val="none"/>
        </w:rPr>
        <w:tab/>
        <w:t>TRA</w:t>
      </w:r>
    </w:p>
    <w:p w14:paraId="4BFE2729" w14:textId="77777777" w:rsidR="00BA1738" w:rsidRPr="002A44F4" w:rsidRDefault="00BA1738" w:rsidP="00BA1738">
      <w:pPr>
        <w:spacing w:after="160" w:line="256" w:lineRule="auto"/>
        <w:jc w:val="both"/>
        <w:rPr>
          <w:rFonts w:ascii="Century Gothic" w:eastAsia="Calibri" w:hAnsi="Century Gothic" w:cs="Times New Roman"/>
          <w:sz w:val="22"/>
          <w:szCs w:val="22"/>
        </w:rPr>
      </w:pPr>
      <w:r w:rsidRPr="00BA43B2">
        <w:rPr>
          <w:rFonts w:ascii="Century Gothic" w:eastAsia="Calibri" w:hAnsi="Century Gothic" w:cs="Times New Roman"/>
          <w:sz w:val="22"/>
          <w:szCs w:val="22"/>
        </w:rPr>
        <w:t xml:space="preserve">L’Istituto </w:t>
      </w:r>
      <w:r>
        <w:rPr>
          <w:rFonts w:ascii="Century Gothic" w:eastAsia="Calibri" w:hAnsi="Century Gothic" w:cs="Times New Roman"/>
          <w:sz w:val="22"/>
          <w:szCs w:val="22"/>
        </w:rPr>
        <w:t xml:space="preserve">NANOTEC </w:t>
      </w:r>
      <w:r w:rsidRPr="002A44F4">
        <w:rPr>
          <w:rFonts w:ascii="Century Gothic" w:eastAsia="Calibri" w:hAnsi="Century Gothic" w:cs="Times New Roman"/>
          <w:sz w:val="22"/>
          <w:szCs w:val="22"/>
        </w:rPr>
        <w:t>del CNR - C.F. 80054330586 (di seguito denominato CNR o Amministrazione) – in persona del Direttore</w:t>
      </w:r>
      <w:r>
        <w:rPr>
          <w:rFonts w:ascii="Century Gothic" w:eastAsia="Calibri" w:hAnsi="Century Gothic" w:cs="Times New Roman"/>
          <w:sz w:val="22"/>
          <w:szCs w:val="22"/>
        </w:rPr>
        <w:t xml:space="preserve"> f.f. Giuseppe Gigli</w:t>
      </w:r>
      <w:r w:rsidRPr="002A44F4">
        <w:rPr>
          <w:rFonts w:ascii="Century Gothic" w:eastAsia="Calibri" w:hAnsi="Century Gothic" w:cs="Times New Roman"/>
          <w:sz w:val="22"/>
          <w:szCs w:val="22"/>
        </w:rPr>
        <w:t>;</w:t>
      </w:r>
    </w:p>
    <w:p w14:paraId="4D13B9A5"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E</w:t>
      </w:r>
    </w:p>
    <w:p w14:paraId="08C5D440" w14:textId="77777777" w:rsidR="00AF6D2C" w:rsidRPr="00AF6D2C" w:rsidRDefault="00AF6D2C" w:rsidP="00AF6D2C">
      <w:pPr>
        <w:autoSpaceDE w:val="0"/>
        <w:autoSpaceDN w:val="0"/>
        <w:adjustRightInd w:val="0"/>
        <w:rPr>
          <w:rFonts w:ascii="Century Gothic" w:eastAsia="Calibri" w:hAnsi="Century Gothic" w:cs="Times New Roman"/>
          <w:color w:val="000000"/>
          <w:kern w:val="0"/>
          <w:sz w:val="22"/>
          <w:szCs w:val="22"/>
          <w14:ligatures w14:val="none"/>
        </w:rPr>
      </w:pPr>
      <w:r w:rsidRPr="00AF6D2C">
        <w:rPr>
          <w:rFonts w:ascii="Century Gothic" w:eastAsia="Calibri" w:hAnsi="Century Gothic" w:cs="Times New Roman"/>
          <w:color w:val="000000"/>
          <w:kern w:val="0"/>
          <w:sz w:val="22"/>
          <w:szCs w:val="22"/>
          <w14:ligatures w14:val="none"/>
        </w:rPr>
        <w:t>L’operatore economico […]</w:t>
      </w:r>
      <w:r w:rsidRPr="00AF6D2C">
        <w:rPr>
          <w:rFonts w:ascii="Times New Roman" w:eastAsia="Calibri" w:hAnsi="Times New Roman" w:cs="Times New Roman"/>
          <w:b/>
          <w:bCs/>
          <w:color w:val="000000"/>
          <w:kern w:val="0"/>
          <w:sz w:val="22"/>
          <w:szCs w:val="22"/>
          <w14:ligatures w14:val="none"/>
        </w:rPr>
        <w:t xml:space="preserve"> </w:t>
      </w:r>
      <w:r w:rsidRPr="00AF6D2C">
        <w:rPr>
          <w:rFonts w:ascii="Century Gothic" w:eastAsia="Calibri" w:hAnsi="Century Gothic" w:cs="Times New Roman"/>
          <w:color w:val="000000"/>
          <w:kern w:val="0"/>
          <w:sz w:val="22"/>
          <w:szCs w:val="22"/>
          <w14:ligatures w14:val="none"/>
        </w:rPr>
        <w:t>(di   seguito Operatore Economico) con sede legale in […] C.F./ P. IVA […]  rappresentato da […] in qualità di […]</w:t>
      </w:r>
    </w:p>
    <w:p w14:paraId="286C3E8B"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p>
    <w:p w14:paraId="5BA8232D"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VISTO</w:t>
      </w:r>
    </w:p>
    <w:p w14:paraId="5C5A5687"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l’art.1, comma 17, della Legge 6 novembre 2012, n.190, recante “</w:t>
      </w:r>
      <w:r w:rsidRPr="00AF6D2C">
        <w:rPr>
          <w:rFonts w:ascii="Century Gothic" w:eastAsia="Calibri" w:hAnsi="Century Gothic" w:cs="Times New Roman"/>
          <w:i/>
          <w:kern w:val="0"/>
          <w:sz w:val="22"/>
          <w:szCs w:val="22"/>
          <w14:ligatures w14:val="none"/>
        </w:rPr>
        <w:t>Disposizioni per la prevenzione e la repressione della corruzione e dell’illegalità nella pubblica Amministrazione</w:t>
      </w:r>
      <w:r w:rsidRPr="00AF6D2C">
        <w:rPr>
          <w:rFonts w:ascii="Century Gothic" w:eastAsia="Calibri" w:hAnsi="Century Gothic" w:cs="Times New Roman"/>
          <w:kern w:val="0"/>
          <w:sz w:val="22"/>
          <w:szCs w:val="22"/>
          <w14:ligatures w14:val="none"/>
        </w:rPr>
        <w:t>”;</w:t>
      </w:r>
    </w:p>
    <w:p w14:paraId="10B66970"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il Piano Nazionale Anticorruzione 2016 approvato dall’Autorità Nazionale Anticorruzione (di seguito denominata ANAC) con Delibera n. 831 del 3 agosto 2016 e successivi aggiornamenti;</w:t>
      </w:r>
    </w:p>
    <w:p w14:paraId="40F7B2D9"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il D.lgs. 31 marzo 2023, n. 36 recante “</w:t>
      </w:r>
      <w:r w:rsidRPr="00AF6D2C">
        <w:rPr>
          <w:rFonts w:ascii="Century Gothic" w:eastAsia="Calibri" w:hAnsi="Century Gothic" w:cs="Times New Roman"/>
          <w:i/>
          <w:kern w:val="0"/>
          <w:sz w:val="22"/>
          <w:szCs w:val="22"/>
          <w14:ligatures w14:val="none"/>
        </w:rPr>
        <w:t>Codice dei contratti pubblici in attuazione dell'articolo 1 della legge 21 giugno 2022, n. 78, recante delega al Governo in materia di contratti pubblici</w:t>
      </w:r>
      <w:r w:rsidRPr="00AF6D2C">
        <w:rPr>
          <w:rFonts w:ascii="Century Gothic" w:eastAsia="Calibri" w:hAnsi="Century Gothic" w:cs="Times New Roman"/>
          <w:kern w:val="0"/>
          <w:sz w:val="22"/>
          <w:szCs w:val="22"/>
          <w14:ligatures w14:val="none"/>
        </w:rPr>
        <w:t xml:space="preserve">” (di seguito denominato Codice dei Contratti pubblici); </w:t>
      </w:r>
    </w:p>
    <w:p w14:paraId="7994FB68"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 Piano Integrato di Attività e Organizzazione (PIAO) 2023-2025 del Consiglio Nazionale delle Ricerche (CNR), adottato con delibera del </w:t>
      </w:r>
      <w:proofErr w:type="gramStart"/>
      <w:r w:rsidRPr="00AF6D2C">
        <w:rPr>
          <w:rFonts w:ascii="Century Gothic" w:eastAsia="Calibri" w:hAnsi="Century Gothic" w:cs="Times New Roman"/>
          <w:kern w:val="0"/>
          <w:sz w:val="22"/>
          <w:szCs w:val="22"/>
          <w14:ligatures w14:val="none"/>
        </w:rPr>
        <w:t>Consiglio di Amministrazione</w:t>
      </w:r>
      <w:proofErr w:type="gramEnd"/>
      <w:r w:rsidRPr="00AF6D2C">
        <w:rPr>
          <w:rFonts w:ascii="Century Gothic" w:eastAsia="Calibri" w:hAnsi="Century Gothic" w:cs="Times New Roman"/>
          <w:kern w:val="0"/>
          <w:sz w:val="22"/>
          <w:szCs w:val="22"/>
          <w14:ligatures w14:val="none"/>
        </w:rPr>
        <w:t xml:space="preserve"> n. 77/2023 del 21 marzo 2023;</w:t>
      </w:r>
    </w:p>
    <w:p w14:paraId="637DB70C"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il D.P.R. 16 aprile 2013, n. 62, con il quale è stato emanato il “</w:t>
      </w:r>
      <w:r w:rsidRPr="00AF6D2C">
        <w:rPr>
          <w:rFonts w:ascii="Century Gothic" w:eastAsia="Calibri" w:hAnsi="Century Gothic" w:cs="Times New Roman"/>
          <w:i/>
          <w:kern w:val="0"/>
          <w:sz w:val="22"/>
          <w:szCs w:val="22"/>
          <w14:ligatures w14:val="none"/>
        </w:rPr>
        <w:t>Regolamento recante codice di comportamento dei dipendenti pubblici, a norma dell’art. 54 del decreto legislativo 30 marzo 2001, n. 165</w:t>
      </w:r>
      <w:r w:rsidRPr="00AF6D2C">
        <w:rPr>
          <w:rFonts w:ascii="Century Gothic" w:eastAsia="Calibri" w:hAnsi="Century Gothic" w:cs="Times New Roman"/>
          <w:kern w:val="0"/>
          <w:sz w:val="22"/>
          <w:szCs w:val="22"/>
          <w14:ligatures w14:val="none"/>
        </w:rPr>
        <w:t>”;</w:t>
      </w:r>
    </w:p>
    <w:p w14:paraId="68E42159"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lastRenderedPageBreak/>
        <w:t xml:space="preserve">- il Codice di comportamento dei dipendenti del CNR, adottato con delibera del Consiglio di amministrazione n. 132/2014 del 10 luglio 2014, aggiornato con delibera n. 137/2017 del 17 ottobre 2017; </w:t>
      </w:r>
    </w:p>
    <w:p w14:paraId="12E032F2"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L’AMMINISTRAZIONE e L’OPERATORE ECONOMICO CONVENGONO QUANTO SEGUE</w:t>
      </w:r>
    </w:p>
    <w:p w14:paraId="3E0F18B3" w14:textId="77777777" w:rsidR="00AF6D2C" w:rsidRPr="00AF6D2C" w:rsidRDefault="00AF6D2C" w:rsidP="00AF6D2C">
      <w:pPr>
        <w:spacing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Articolo 1</w:t>
      </w:r>
    </w:p>
    <w:p w14:paraId="64335A00"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(Finalità ed ambito di applicazione)</w:t>
      </w:r>
    </w:p>
    <w:p w14:paraId="21109D13"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1. Il presente Patto di integrità rappresenta una misura di prevenzione nei confronti di pratiche corruttive, </w:t>
      </w:r>
      <w:proofErr w:type="spellStart"/>
      <w:r w:rsidRPr="00AF6D2C">
        <w:rPr>
          <w:rFonts w:ascii="Century Gothic" w:eastAsia="Calibri" w:hAnsi="Century Gothic" w:cs="Times New Roman"/>
          <w:kern w:val="0"/>
          <w:sz w:val="22"/>
          <w:szCs w:val="22"/>
          <w14:ligatures w14:val="none"/>
        </w:rPr>
        <w:t>concussive</w:t>
      </w:r>
      <w:proofErr w:type="spellEnd"/>
      <w:r w:rsidRPr="00AF6D2C">
        <w:rPr>
          <w:rFonts w:ascii="Century Gothic" w:eastAsia="Calibri" w:hAnsi="Century Gothic" w:cs="Times New Roman"/>
          <w:kern w:val="0"/>
          <w:sz w:val="22"/>
          <w:szCs w:val="22"/>
          <w14:ligatures w14:val="none"/>
        </w:rPr>
        <w:t xml:space="preserve"> o comunque tendenti ad inficiare il corretto svolgimento dell’azione amministrativa nell’ambito dei pubblici appalti banditi dall’Amministrazione.</w:t>
      </w:r>
    </w:p>
    <w:p w14:paraId="1566AB09"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1EBC368A"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3584FD70" w14:textId="77777777" w:rsidR="00AF6D2C" w:rsidRPr="00AF6D2C" w:rsidRDefault="00AF6D2C" w:rsidP="00AF6D2C">
      <w:pPr>
        <w:spacing w:after="160" w:line="259" w:lineRule="auto"/>
        <w:jc w:val="both"/>
        <w:rPr>
          <w:rFonts w:ascii="Century Gothic" w:eastAsia="Calibri" w:hAnsi="Century Gothic" w:cs="Times New Roman"/>
          <w:b/>
          <w:bCs/>
          <w:kern w:val="0"/>
          <w:sz w:val="22"/>
          <w:szCs w:val="22"/>
          <w14:ligatures w14:val="none"/>
        </w:rPr>
      </w:pPr>
      <w:r w:rsidRPr="00AF6D2C">
        <w:rPr>
          <w:rFonts w:ascii="Century Gothic" w:eastAsia="Calibri" w:hAnsi="Century Gothic" w:cs="Times New Roman"/>
          <w:kern w:val="0"/>
          <w:sz w:val="22"/>
          <w:szCs w:val="22"/>
          <w14:ligatures w14:val="none"/>
        </w:rPr>
        <w:t>4. Il presente Patto trova applicazione in tutte le procedure di gara sopra e sottosoglia comunitaria</w:t>
      </w:r>
      <w:r w:rsidRPr="00AF6D2C">
        <w:rPr>
          <w:rFonts w:ascii="Century Gothic" w:eastAsia="Calibri" w:hAnsi="Century Gothic" w:cs="Times New Roman"/>
          <w:b/>
          <w:bCs/>
          <w:kern w:val="0"/>
          <w:sz w:val="22"/>
          <w:szCs w:val="22"/>
          <w14:ligatures w14:val="none"/>
        </w:rPr>
        <w:t xml:space="preserve">, </w:t>
      </w:r>
      <w:r w:rsidRPr="00AF6D2C">
        <w:rPr>
          <w:rFonts w:ascii="Century Gothic" w:eastAsia="Calibri" w:hAnsi="Century Gothic" w:cs="Times New Roman"/>
          <w:kern w:val="0"/>
          <w:sz w:val="22"/>
          <w:szCs w:val="22"/>
          <w14:ligatures w14:val="none"/>
        </w:rPr>
        <w:t>salvo che per l’affidamento specifico sussista già un apposito Patto di integrità predisposto da altro soggetto giuridico (ad es. Consip). Nelle procedure sottosoglia si intendono ricompresi anche gli affidamenti diretti effettuati sotto il limite dei 140.000,00 euro (centoquarantamila euro)</w:t>
      </w:r>
      <w:r w:rsidRPr="00AF6D2C">
        <w:rPr>
          <w:rFonts w:ascii="Century Gothic" w:eastAsia="Calibri" w:hAnsi="Century Gothic" w:cs="Times New Roman"/>
          <w:b/>
          <w:bCs/>
          <w:kern w:val="0"/>
          <w:sz w:val="22"/>
          <w:szCs w:val="22"/>
          <w14:ligatures w14:val="none"/>
        </w:rPr>
        <w:t>.</w:t>
      </w:r>
    </w:p>
    <w:p w14:paraId="49FB7918"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proofErr w:type="gramStart"/>
      <w:r w:rsidRPr="00AF6D2C">
        <w:rPr>
          <w:rFonts w:ascii="Century Gothic" w:eastAsia="Calibri" w:hAnsi="Century Gothic" w:cs="Times New Roman"/>
          <w:kern w:val="0"/>
          <w:sz w:val="22"/>
          <w:szCs w:val="22"/>
          <w14:ligatures w14:val="none"/>
        </w:rPr>
        <w:t>predette</w:t>
      </w:r>
      <w:proofErr w:type="gramEnd"/>
      <w:r w:rsidRPr="00AF6D2C">
        <w:rPr>
          <w:rFonts w:ascii="Century Gothic" w:eastAsia="Calibri" w:hAnsi="Century Gothic" w:cs="Times New Roman"/>
          <w:kern w:val="0"/>
          <w:sz w:val="22"/>
          <w:szCs w:val="22"/>
          <w14:ligatures w14:val="none"/>
        </w:rPr>
        <w:t xml:space="preserve"> procedure di gara. </w:t>
      </w:r>
    </w:p>
    <w:p w14:paraId="4F616B87"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bCs/>
          <w:kern w:val="0"/>
          <w:sz w:val="22"/>
          <w:szCs w:val="22"/>
          <w14:ligatures w14:val="none"/>
        </w:rPr>
        <w:t>6</w:t>
      </w:r>
      <w:r w:rsidRPr="00AF6D2C">
        <w:rPr>
          <w:rFonts w:ascii="Century Gothic" w:eastAsia="Calibri" w:hAnsi="Century Gothic" w:cs="Times New Roman"/>
          <w:b/>
          <w:bCs/>
          <w:kern w:val="0"/>
          <w:sz w:val="22"/>
          <w:szCs w:val="22"/>
          <w14:ligatures w14:val="none"/>
        </w:rPr>
        <w:t xml:space="preserve">. </w:t>
      </w:r>
      <w:r w:rsidRPr="00AF6D2C">
        <w:rPr>
          <w:rFonts w:ascii="Century Gothic" w:eastAsia="Calibri" w:hAnsi="Century Gothic" w:cs="Times New Roman"/>
          <w:kern w:val="0"/>
          <w:sz w:val="22"/>
          <w:szCs w:val="22"/>
          <w14:ligatures w14:val="none"/>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676703C4"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76085B5A"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lastRenderedPageBreak/>
        <w:t xml:space="preserve">Nel caso di Consorzi o Raggruppamenti Temporanei di Imprese, il Patto va sottoscritto dal legale rappresentante del Consorzio nonché di ciascuna delle Imprese consorziate o raggruppate e dagli eventuali Direttori Tecnici. </w:t>
      </w:r>
    </w:p>
    <w:p w14:paraId="39A59424"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Nel caso di ricorso all’avvalimento, il Patto va sottoscritto anche dal legale rappresentante dell’ausiliaria e dall’eventuale Direttore Tecnico.</w:t>
      </w:r>
    </w:p>
    <w:p w14:paraId="2030FA14"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Nel caso di subappalto – laddove consentito – il Patto va sottoscritto anche dal legale rappresentante del soggetto affidatario del subappalto medesimo, e dall’eventuale Direttore Tecnico.</w:t>
      </w:r>
    </w:p>
    <w:p w14:paraId="11F6924E"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3B57874A" w14:textId="77777777" w:rsidR="00AF6D2C" w:rsidRPr="00AF6D2C" w:rsidRDefault="00AF6D2C" w:rsidP="00AF6D2C">
      <w:pPr>
        <w:spacing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Articolo 2</w:t>
      </w:r>
    </w:p>
    <w:p w14:paraId="27EDEA44"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(Obblighi dell’Operatore Economico)</w:t>
      </w:r>
    </w:p>
    <w:p w14:paraId="6D40F802"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1. L’Operatore Economico conforma la propria condotta ai principi di lealtà, trasparenza e correttezza.</w:t>
      </w:r>
    </w:p>
    <w:p w14:paraId="7077659A"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2F81AEF8"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3. L’Operatore Economico, salvi ed impregiudicati gli obblighi legali di denuncia alla competente Autorità Giudiziaria, si impegna:</w:t>
      </w:r>
    </w:p>
    <w:p w14:paraId="1D223AD6"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4537D5F2"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b) a segnalare all’Amministrazione qualsiasi illecita richiesta o pretesa da parte di dipendenti dell’Amministrazione stessa o di chiunque possa influenzare le decisioni relative alla procedura di affidamento o all’esecuzione del contratto;</w:t>
      </w:r>
    </w:p>
    <w:p w14:paraId="0A177338"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40ABD7B4"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lastRenderedPageBreak/>
        <w:t xml:space="preserve">d) a non conferire incarichi o stipulare contratti con i soggetti di cui all’art. 53, comma 16-ter, del D. Lgs. n.  165/2001 e </w:t>
      </w:r>
      <w:proofErr w:type="spellStart"/>
      <w:r w:rsidRPr="00AF6D2C">
        <w:rPr>
          <w:rFonts w:ascii="Century Gothic" w:eastAsia="Calibri" w:hAnsi="Century Gothic" w:cs="Times New Roman"/>
          <w:kern w:val="0"/>
          <w:sz w:val="22"/>
          <w:szCs w:val="22"/>
          <w14:ligatures w14:val="none"/>
        </w:rPr>
        <w:t>s.m.i.</w:t>
      </w:r>
      <w:proofErr w:type="spellEnd"/>
    </w:p>
    <w:p w14:paraId="1B7EDC40"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6CD43E24"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2560E271"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5. Il legale rappresentante dell’Operatore Economico segnala eventuali situazioni di conflitto di interesse, di cui sia a conoscenza, rispetto al personale dell’Amministrazione.</w:t>
      </w:r>
    </w:p>
    <w:p w14:paraId="10DBCA2B"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6. Il legale rappresentante dell’Operatore Economico dichiara:</w:t>
      </w:r>
    </w:p>
    <w:p w14:paraId="5AE7812D"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 di non avere influenzato il procedimento amministrativo diretto a stabilire il contenuto del bando o di altro atto equipollente al fine di condizionare le modalità di scelta del contraente da parte dell’Amministrazione; </w:t>
      </w:r>
    </w:p>
    <w:p w14:paraId="7E5385F8"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65476723"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di non trovarsi in altre situazioni ritenute incompatibili con la partecipazione alle gare dal Codice dei Contratti pubblici, dal Codice civile ovvero dalle altre disposizioni normative vigenti;</w:t>
      </w:r>
    </w:p>
    <w:p w14:paraId="7F4CA737"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 di non aver conferito incarichi ai soggetti di cui all’art. 53, comma 16-ter, del D. Lgs. n. 165/2001 e </w:t>
      </w:r>
      <w:proofErr w:type="spellStart"/>
      <w:r w:rsidRPr="00AF6D2C">
        <w:rPr>
          <w:rFonts w:ascii="Century Gothic" w:eastAsia="Calibri" w:hAnsi="Century Gothic" w:cs="Times New Roman"/>
          <w:kern w:val="0"/>
          <w:sz w:val="22"/>
          <w:szCs w:val="22"/>
          <w14:ligatures w14:val="none"/>
        </w:rPr>
        <w:t>s.m.i.</w:t>
      </w:r>
      <w:proofErr w:type="spellEnd"/>
      <w:r w:rsidRPr="00AF6D2C">
        <w:rPr>
          <w:rFonts w:ascii="Century Gothic" w:eastAsia="Calibri" w:hAnsi="Century Gothic" w:cs="Times New Roman"/>
          <w:kern w:val="0"/>
          <w:sz w:val="22"/>
          <w:szCs w:val="22"/>
          <w14:ligatures w14:val="none"/>
        </w:rPr>
        <w:t>, o di non aver stipulato contratti con i medesimi soggetti;</w:t>
      </w:r>
    </w:p>
    <w:p w14:paraId="3AB7F2B3"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di essere consapevole che, qualora venga accertata la violazione del suddetto divieto di cui all’art. 53, comma 16-ter, del D. Lgs. n. 165/2001 verrà disposta l’immediata esclusione dalla partecipazione alla procedura d’affidamento;</w:t>
      </w:r>
    </w:p>
    <w:p w14:paraId="3DE69179"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di impegnarsi a rendere noti, su richiesta dell’Amministrazione, tutti i pagamenti eseguiti e riguardanti il contratto eventualmente assegnatogli a seguito della procedura di affidamento.</w:t>
      </w:r>
    </w:p>
    <w:p w14:paraId="51679DA2" w14:textId="77777777" w:rsidR="00AF6D2C" w:rsidRPr="00AF6D2C" w:rsidRDefault="00AF6D2C" w:rsidP="00AF6D2C">
      <w:pPr>
        <w:spacing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Articolo 3</w:t>
      </w:r>
    </w:p>
    <w:p w14:paraId="0F171F0E"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(Obblighi dell’Amministrazione)</w:t>
      </w:r>
    </w:p>
    <w:p w14:paraId="050F0F57" w14:textId="77777777" w:rsidR="00AF6D2C" w:rsidRPr="00AF6D2C" w:rsidRDefault="00AF6D2C" w:rsidP="00AF6D2C">
      <w:pPr>
        <w:spacing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1. L’Amministrazione conforma la propria condotta ai principi di lealtà, trasparenza e correttezza. </w:t>
      </w:r>
    </w:p>
    <w:p w14:paraId="2DCC3960"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0EC1D745"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2. L’Amministrazione informa il proprio personale e tutti i soggetti in essa operanti, a qualsiasi titolo coinvolti nella procedura di gara sopra indicata e nelle fasi di vigilanza, controllo e gestione </w:t>
      </w:r>
      <w:r w:rsidRPr="00AF6D2C">
        <w:rPr>
          <w:rFonts w:ascii="Century Gothic" w:eastAsia="Calibri" w:hAnsi="Century Gothic" w:cs="Times New Roman"/>
          <w:kern w:val="0"/>
          <w:sz w:val="22"/>
          <w:szCs w:val="22"/>
          <w14:ligatures w14:val="none"/>
        </w:rPr>
        <w:lastRenderedPageBreak/>
        <w:t>dell’esecuzione del relativo contratto qualora assegnato, circa il presente Patto di integrità e gli obblighi in esso contenuti, vigilando sulla loro osservanza.</w:t>
      </w:r>
    </w:p>
    <w:p w14:paraId="3D6C18CE"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3. L’Amministrazione attiverà le procedure di legge nei confronti del personale che non conformi il proprio operato ai principi richiamati al comma primo del presente articolo</w:t>
      </w:r>
      <w:r w:rsidRPr="00AF6D2C">
        <w:rPr>
          <w:rFonts w:ascii="Century Gothic" w:eastAsia="Calibri" w:hAnsi="Century Gothic" w:cs="Times New Roman"/>
          <w:b/>
          <w:bCs/>
          <w:kern w:val="0"/>
          <w:sz w:val="22"/>
          <w:szCs w:val="22"/>
          <w14:ligatures w14:val="none"/>
        </w:rPr>
        <w:t xml:space="preserve">, </w:t>
      </w:r>
      <w:r w:rsidRPr="00AF6D2C">
        <w:rPr>
          <w:rFonts w:ascii="Century Gothic" w:eastAsia="Calibri" w:hAnsi="Century Gothic" w:cs="Times New Roman"/>
          <w:kern w:val="0"/>
          <w:sz w:val="22"/>
          <w:szCs w:val="22"/>
          <w14:ligatures w14:val="none"/>
        </w:rPr>
        <w:t>alle disposizioni contenute nel codice di comportamento dei dipendenti pubblici di cui al D.P.R. 16 aprile 2013, n. 62, nonché a quelle prescritte nel Codice di comportamento dei dipendenti dell’Amministrazione.</w:t>
      </w:r>
    </w:p>
    <w:p w14:paraId="77006D26"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4. L’Amministrazione aprirà un procedimento istruttorio per la verifica di ogni eventuale segnalazione ricevuta in merito a condotte anomale, </w:t>
      </w:r>
      <w:proofErr w:type="gramStart"/>
      <w:r w:rsidRPr="00AF6D2C">
        <w:rPr>
          <w:rFonts w:ascii="Century Gothic" w:eastAsia="Calibri" w:hAnsi="Century Gothic" w:cs="Times New Roman"/>
          <w:kern w:val="0"/>
          <w:sz w:val="22"/>
          <w:szCs w:val="22"/>
          <w14:ligatures w14:val="none"/>
        </w:rPr>
        <w:t>poste in essere</w:t>
      </w:r>
      <w:proofErr w:type="gramEnd"/>
      <w:r w:rsidRPr="00AF6D2C">
        <w:rPr>
          <w:rFonts w:ascii="Century Gothic" w:eastAsia="Calibri" w:hAnsi="Century Gothic" w:cs="Times New Roman"/>
          <w:kern w:val="0"/>
          <w:sz w:val="22"/>
          <w:szCs w:val="22"/>
          <w14:ligatures w14:val="none"/>
        </w:rPr>
        <w:t xml:space="preserve"> dal proprio personale in relazione al procedimento di gara ed alle fasi di esecuzione del contratto.</w:t>
      </w:r>
    </w:p>
    <w:p w14:paraId="66685499"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5. L’Amministrazione formalizza l’accertamento delle violazioni del presente Patto di integrità, nel rispetto del principio del contraddittorio.</w:t>
      </w:r>
    </w:p>
    <w:p w14:paraId="4B824CEB" w14:textId="77777777" w:rsidR="00AF6D2C" w:rsidRPr="00AF6D2C" w:rsidRDefault="00AF6D2C" w:rsidP="00AF6D2C">
      <w:pPr>
        <w:spacing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Articolo 4</w:t>
      </w:r>
    </w:p>
    <w:p w14:paraId="60CDBD51"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 xml:space="preserve">(Violazione degli obblighi assunti con il Patto di integrità) </w:t>
      </w:r>
    </w:p>
    <w:p w14:paraId="4FE4C67C"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xml:space="preserve">1. La violazione degli obblighi di cui al precedente art. 2 è dichiarata all’esito di un procedimento di verifica nel corso del quale verrà garantito adeguato contraddittorio con l’Operatore economico coinvolto nel procedimento. </w:t>
      </w:r>
    </w:p>
    <w:p w14:paraId="169F58C5"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bCs/>
          <w:kern w:val="0"/>
          <w:sz w:val="22"/>
          <w:szCs w:val="22"/>
          <w14:ligatures w14:val="none"/>
        </w:rPr>
        <w:t>2</w:t>
      </w:r>
      <w:r w:rsidRPr="00AF6D2C">
        <w:rPr>
          <w:rFonts w:ascii="Century Gothic" w:eastAsia="Calibri" w:hAnsi="Century Gothic" w:cs="Times New Roman"/>
          <w:b/>
          <w:bCs/>
          <w:kern w:val="0"/>
          <w:sz w:val="22"/>
          <w:szCs w:val="22"/>
          <w14:ligatures w14:val="none"/>
        </w:rPr>
        <w:t xml:space="preserve">. </w:t>
      </w:r>
      <w:r w:rsidRPr="00AF6D2C">
        <w:rPr>
          <w:rFonts w:ascii="Century Gothic" w:eastAsia="Calibri" w:hAnsi="Century Gothic" w:cs="Times New Roman"/>
          <w:kern w:val="0"/>
          <w:sz w:val="22"/>
          <w:szCs w:val="22"/>
          <w14:ligatures w14:val="none"/>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7A1D293F"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esclusione dalla procedura di affidamento ed escussione della cauzione, se la violazione è accertata nella fase precedente all’aggiudicazione dell’appalto;</w:t>
      </w:r>
    </w:p>
    <w:p w14:paraId="4BC4521E"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revoca dell’aggiudicazione ed escussione della cauzione se la violazione è accertata nella fase successiva all’aggiudicazione dell’appalto, ma precedente alla stipula del contratto;</w:t>
      </w:r>
    </w:p>
    <w:p w14:paraId="458F2908"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risoluzione del contratto, ai sensi e per gli effetti dell’art. 1456 del Codice civile, ed escussione della cauzione definitiva, se la violazione è accertata nella fase di esecuzione dell’appalto;</w:t>
      </w:r>
    </w:p>
    <w:p w14:paraId="2025F379"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 segnalazione del fatto all’ANAC ed alle competenti Autorità.</w:t>
      </w:r>
    </w:p>
    <w:p w14:paraId="6AFA1B15"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17EDE254"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1C1060FF" w14:textId="77777777" w:rsidR="00AF6D2C" w:rsidRPr="00AF6D2C" w:rsidRDefault="00AF6D2C" w:rsidP="00AF6D2C">
      <w:pPr>
        <w:spacing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Articolo 5</w:t>
      </w:r>
    </w:p>
    <w:p w14:paraId="3B65DE1E"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lastRenderedPageBreak/>
        <w:t>(Efficacia del patto di integrità)</w:t>
      </w:r>
    </w:p>
    <w:p w14:paraId="4E0709AD"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Il presente Patto di integrità e le relative sanzioni si applicano dall’avvio della procedura di affidamento sino alla completa esecuzione del contratto assegnato a seguito della procedura medesima.</w:t>
      </w:r>
    </w:p>
    <w:p w14:paraId="7F0B1772" w14:textId="77777777" w:rsidR="00AF6D2C" w:rsidRPr="00AF6D2C" w:rsidRDefault="00AF6D2C" w:rsidP="00AF6D2C">
      <w:pPr>
        <w:spacing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Articolo 6</w:t>
      </w:r>
    </w:p>
    <w:p w14:paraId="678F7C4E" w14:textId="77777777" w:rsidR="00AF6D2C" w:rsidRPr="00AF6D2C" w:rsidRDefault="00AF6D2C" w:rsidP="00AF6D2C">
      <w:pPr>
        <w:spacing w:after="160" w:line="259" w:lineRule="auto"/>
        <w:jc w:val="center"/>
        <w:rPr>
          <w:rFonts w:ascii="Century Gothic" w:eastAsia="Calibri" w:hAnsi="Century Gothic" w:cs="Times New Roman"/>
          <w:b/>
          <w:kern w:val="0"/>
          <w:sz w:val="22"/>
          <w:szCs w:val="22"/>
          <w14:ligatures w14:val="none"/>
        </w:rPr>
      </w:pPr>
      <w:r w:rsidRPr="00AF6D2C">
        <w:rPr>
          <w:rFonts w:ascii="Century Gothic" w:eastAsia="Calibri" w:hAnsi="Century Gothic" w:cs="Times New Roman"/>
          <w:b/>
          <w:kern w:val="0"/>
          <w:sz w:val="22"/>
          <w:szCs w:val="22"/>
          <w14:ligatures w14:val="none"/>
        </w:rPr>
        <w:t>(Controversie)</w:t>
      </w:r>
    </w:p>
    <w:p w14:paraId="06A09AF9"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Ogni controversia relativa all’interpretazione ed alla esecuzione del presente Patto di Integrità fra l’Amministrazione e gli Operatori Economici, ovvero tra gli stessi Operatori Economici sarà risolta in via esclusiva dal Foro di Roma.</w:t>
      </w:r>
    </w:p>
    <w:p w14:paraId="5A6605BE" w14:textId="77777777" w:rsidR="00AF6D2C" w:rsidRPr="00AF6D2C" w:rsidRDefault="00AF6D2C" w:rsidP="00AF6D2C">
      <w:pPr>
        <w:spacing w:after="160" w:line="259" w:lineRule="auto"/>
        <w:jc w:val="both"/>
        <w:rPr>
          <w:rFonts w:ascii="Century Gothic" w:eastAsia="Calibri" w:hAnsi="Century Gothic" w:cs="Times New Roman"/>
          <w:kern w:val="0"/>
          <w:sz w:val="22"/>
          <w:szCs w:val="22"/>
          <w14:ligatures w14:val="none"/>
        </w:rPr>
      </w:pPr>
      <w:r w:rsidRPr="00AF6D2C">
        <w:rPr>
          <w:rFonts w:ascii="Century Gothic" w:eastAsia="Calibri" w:hAnsi="Century Gothic" w:cs="Times New Roman"/>
          <w:kern w:val="0"/>
          <w:sz w:val="22"/>
          <w:szCs w:val="22"/>
          <w14:ligatures w14:val="none"/>
        </w:rPr>
        <w:t>Data,</w:t>
      </w:r>
    </w:p>
    <w:tbl>
      <w:tblPr>
        <w:tblStyle w:val="Grigliatabel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F6D2C" w:rsidRPr="00AF6D2C" w14:paraId="0776C2AE" w14:textId="77777777" w:rsidTr="0015772A">
        <w:tc>
          <w:tcPr>
            <w:tcW w:w="3964" w:type="dxa"/>
          </w:tcPr>
          <w:p w14:paraId="16F72836" w14:textId="77777777" w:rsidR="00AF6D2C" w:rsidRPr="00AF6D2C" w:rsidRDefault="00AF6D2C" w:rsidP="00AF6D2C">
            <w:pPr>
              <w:jc w:val="center"/>
              <w:rPr>
                <w:rFonts w:ascii="Century Gothic" w:eastAsia="Calibri" w:hAnsi="Century Gothic"/>
              </w:rPr>
            </w:pPr>
            <w:r w:rsidRPr="00AF6D2C">
              <w:rPr>
                <w:rFonts w:ascii="Century Gothic" w:eastAsia="Calibri" w:hAnsi="Century Gothic"/>
              </w:rPr>
              <w:t>L’Amministrazione</w:t>
            </w:r>
          </w:p>
        </w:tc>
        <w:tc>
          <w:tcPr>
            <w:tcW w:w="1843" w:type="dxa"/>
          </w:tcPr>
          <w:p w14:paraId="22CE5F75" w14:textId="77777777" w:rsidR="00AF6D2C" w:rsidRPr="00AF6D2C" w:rsidRDefault="00AF6D2C" w:rsidP="00AF6D2C">
            <w:pPr>
              <w:jc w:val="center"/>
              <w:rPr>
                <w:rFonts w:ascii="Century Gothic" w:eastAsia="Calibri" w:hAnsi="Century Gothic"/>
              </w:rPr>
            </w:pPr>
          </w:p>
        </w:tc>
        <w:tc>
          <w:tcPr>
            <w:tcW w:w="3821" w:type="dxa"/>
          </w:tcPr>
          <w:p w14:paraId="6230DC0D" w14:textId="77777777" w:rsidR="00AF6D2C" w:rsidRPr="00AF6D2C" w:rsidRDefault="00AF6D2C" w:rsidP="00AF6D2C">
            <w:pPr>
              <w:jc w:val="center"/>
              <w:rPr>
                <w:rFonts w:ascii="Century Gothic" w:eastAsia="Calibri" w:hAnsi="Century Gothic"/>
              </w:rPr>
            </w:pPr>
            <w:r w:rsidRPr="00AF6D2C">
              <w:rPr>
                <w:rFonts w:ascii="Century Gothic" w:eastAsia="Calibri" w:hAnsi="Century Gothic"/>
              </w:rPr>
              <w:t>L’Operatore Economico</w:t>
            </w:r>
          </w:p>
        </w:tc>
      </w:tr>
      <w:tr w:rsidR="00AF6D2C" w:rsidRPr="00AF6D2C" w14:paraId="55547F13" w14:textId="77777777" w:rsidTr="0015772A">
        <w:tc>
          <w:tcPr>
            <w:tcW w:w="3964" w:type="dxa"/>
          </w:tcPr>
          <w:p w14:paraId="72174C86" w14:textId="77777777" w:rsidR="00AF6D2C" w:rsidRPr="00AF6D2C" w:rsidRDefault="00AF6D2C" w:rsidP="00AF6D2C">
            <w:pPr>
              <w:jc w:val="both"/>
              <w:rPr>
                <w:rFonts w:ascii="Century Gothic" w:eastAsia="Calibri" w:hAnsi="Century Gothic"/>
              </w:rPr>
            </w:pPr>
          </w:p>
        </w:tc>
        <w:tc>
          <w:tcPr>
            <w:tcW w:w="1843" w:type="dxa"/>
          </w:tcPr>
          <w:p w14:paraId="02DF9D2E" w14:textId="77777777" w:rsidR="00AF6D2C" w:rsidRPr="00AF6D2C" w:rsidRDefault="00AF6D2C" w:rsidP="00AF6D2C">
            <w:pPr>
              <w:jc w:val="both"/>
              <w:rPr>
                <w:rFonts w:ascii="Century Gothic" w:eastAsia="Calibri" w:hAnsi="Century Gothic"/>
              </w:rPr>
            </w:pPr>
          </w:p>
        </w:tc>
        <w:tc>
          <w:tcPr>
            <w:tcW w:w="3821" w:type="dxa"/>
          </w:tcPr>
          <w:p w14:paraId="579DA1C9" w14:textId="77777777" w:rsidR="00AF6D2C" w:rsidRPr="00AF6D2C" w:rsidRDefault="00AF6D2C" w:rsidP="00AF6D2C">
            <w:pPr>
              <w:jc w:val="both"/>
              <w:rPr>
                <w:rFonts w:ascii="Century Gothic" w:eastAsia="Calibri" w:hAnsi="Century Gothic"/>
              </w:rPr>
            </w:pPr>
          </w:p>
        </w:tc>
      </w:tr>
      <w:tr w:rsidR="00AF6D2C" w:rsidRPr="00AF6D2C" w14:paraId="32FFB3F2" w14:textId="77777777" w:rsidTr="0015772A">
        <w:tc>
          <w:tcPr>
            <w:tcW w:w="3964" w:type="dxa"/>
          </w:tcPr>
          <w:p w14:paraId="259BF1B1" w14:textId="77777777" w:rsidR="00AF6D2C" w:rsidRPr="00AF6D2C" w:rsidRDefault="00AF6D2C" w:rsidP="00AF6D2C">
            <w:pPr>
              <w:jc w:val="center"/>
              <w:rPr>
                <w:rFonts w:ascii="Century Gothic" w:eastAsia="Calibri" w:hAnsi="Century Gothic"/>
              </w:rPr>
            </w:pPr>
            <w:r w:rsidRPr="00AF6D2C">
              <w:rPr>
                <w:rFonts w:ascii="Century Gothic" w:eastAsia="Calibri" w:hAnsi="Century Gothic"/>
              </w:rPr>
              <w:t>Il Direttore</w:t>
            </w:r>
          </w:p>
        </w:tc>
        <w:tc>
          <w:tcPr>
            <w:tcW w:w="1843" w:type="dxa"/>
          </w:tcPr>
          <w:p w14:paraId="6A93DB74" w14:textId="77777777" w:rsidR="00AF6D2C" w:rsidRPr="00AF6D2C" w:rsidRDefault="00AF6D2C" w:rsidP="00AF6D2C">
            <w:pPr>
              <w:jc w:val="center"/>
              <w:rPr>
                <w:rFonts w:ascii="Century Gothic" w:eastAsia="Calibri" w:hAnsi="Century Gothic"/>
              </w:rPr>
            </w:pPr>
          </w:p>
        </w:tc>
        <w:tc>
          <w:tcPr>
            <w:tcW w:w="3821" w:type="dxa"/>
          </w:tcPr>
          <w:p w14:paraId="4556EE45" w14:textId="77777777" w:rsidR="00AF6D2C" w:rsidRPr="00AF6D2C" w:rsidRDefault="00AF6D2C" w:rsidP="00AF6D2C">
            <w:pPr>
              <w:jc w:val="center"/>
              <w:rPr>
                <w:rFonts w:ascii="Century Gothic" w:eastAsia="Calibri" w:hAnsi="Century Gothic"/>
              </w:rPr>
            </w:pPr>
            <w:r w:rsidRPr="00AF6D2C">
              <w:rPr>
                <w:rFonts w:ascii="Century Gothic" w:eastAsia="Calibri" w:hAnsi="Century Gothic"/>
              </w:rPr>
              <w:t>Il Titolare/Legale rappresentante</w:t>
            </w:r>
          </w:p>
        </w:tc>
      </w:tr>
    </w:tbl>
    <w:p w14:paraId="16A70D74" w14:textId="77777777" w:rsidR="00AF6D2C" w:rsidRPr="00AF6D2C" w:rsidRDefault="00AF6D2C" w:rsidP="00AF6D2C">
      <w:pPr>
        <w:spacing w:line="259" w:lineRule="auto"/>
        <w:ind w:left="708" w:firstLine="708"/>
        <w:jc w:val="both"/>
        <w:rPr>
          <w:rFonts w:ascii="Century Gothic" w:eastAsia="Calibri" w:hAnsi="Century Gothic" w:cs="Times New Roman"/>
          <w:kern w:val="0"/>
          <w:sz w:val="22"/>
          <w:szCs w:val="22"/>
          <w14:ligatures w14:val="none"/>
        </w:rPr>
      </w:pPr>
    </w:p>
    <w:p w14:paraId="018AE074" w14:textId="77777777" w:rsidR="00AF6D2C" w:rsidRDefault="00AF6D2C" w:rsidP="0032047F">
      <w:pPr>
        <w:contextualSpacing/>
        <w:jc w:val="both"/>
        <w:rPr>
          <w:rFonts w:ascii="Calibri" w:eastAsia="Calibri" w:hAnsi="Calibri" w:cs="Calibri"/>
          <w:caps/>
          <w:kern w:val="0"/>
          <w:sz w:val="20"/>
          <w:szCs w:val="20"/>
          <w:lang w:eastAsia="it-IT"/>
          <w14:ligatures w14:val="none"/>
        </w:rPr>
      </w:pPr>
    </w:p>
    <w:sectPr w:rsidR="00AF6D2C" w:rsidSect="006D535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82CCBA" w14:textId="77777777" w:rsidR="00B42097" w:rsidRDefault="00B42097" w:rsidP="003045D3">
      <w:r>
        <w:separator/>
      </w:r>
    </w:p>
  </w:endnote>
  <w:endnote w:type="continuationSeparator" w:id="0">
    <w:p w14:paraId="020D7EEA" w14:textId="77777777" w:rsidR="00B42097" w:rsidRDefault="00B42097"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86BC7" w14:textId="77777777" w:rsidR="00B42097" w:rsidRDefault="00B42097" w:rsidP="003045D3">
      <w:r>
        <w:separator/>
      </w:r>
    </w:p>
  </w:footnote>
  <w:footnote w:type="continuationSeparator" w:id="0">
    <w:p w14:paraId="3E78C470" w14:textId="77777777" w:rsidR="00B42097" w:rsidRDefault="00B42097" w:rsidP="0030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04E0EB9" id="Gruppo 1" o:spid="_x0000_s1026" style="position:absolute;margin-left:-19.4pt;margin-top:-27.6pt;width:562.3pt;height:68.5pt;z-index:251661312;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num w:numId="1" w16cid:durableId="238364447">
    <w:abstractNumId w:val="3"/>
  </w:num>
  <w:num w:numId="2" w16cid:durableId="1828279663">
    <w:abstractNumId w:val="4"/>
  </w:num>
  <w:num w:numId="3" w16cid:durableId="2109303761">
    <w:abstractNumId w:val="0"/>
  </w:num>
  <w:num w:numId="4" w16cid:durableId="751589980">
    <w:abstractNumId w:val="2"/>
  </w:num>
  <w:num w:numId="5" w16cid:durableId="489712656">
    <w:abstractNumId w:val="6"/>
  </w:num>
  <w:num w:numId="6" w16cid:durableId="952832486">
    <w:abstractNumId w:val="5"/>
  </w:num>
  <w:num w:numId="7" w16cid:durableId="1877698587">
    <w:abstractNumId w:val="1"/>
  </w:num>
  <w:num w:numId="8" w16cid:durableId="6828290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456CB"/>
    <w:rsid w:val="000D2A96"/>
    <w:rsid w:val="00155E53"/>
    <w:rsid w:val="001A2C3C"/>
    <w:rsid w:val="001F44EC"/>
    <w:rsid w:val="00215F53"/>
    <w:rsid w:val="0022206F"/>
    <w:rsid w:val="00302646"/>
    <w:rsid w:val="00302FA0"/>
    <w:rsid w:val="003045D3"/>
    <w:rsid w:val="0032047F"/>
    <w:rsid w:val="004028C0"/>
    <w:rsid w:val="004057CD"/>
    <w:rsid w:val="00425F2F"/>
    <w:rsid w:val="00474D9B"/>
    <w:rsid w:val="00501700"/>
    <w:rsid w:val="005B62E2"/>
    <w:rsid w:val="005B722C"/>
    <w:rsid w:val="005F16EB"/>
    <w:rsid w:val="00607BD2"/>
    <w:rsid w:val="00643BCD"/>
    <w:rsid w:val="006B4A8D"/>
    <w:rsid w:val="006D5350"/>
    <w:rsid w:val="00730932"/>
    <w:rsid w:val="00752BFD"/>
    <w:rsid w:val="00755219"/>
    <w:rsid w:val="00842305"/>
    <w:rsid w:val="00887FD6"/>
    <w:rsid w:val="008D2D1D"/>
    <w:rsid w:val="008E762E"/>
    <w:rsid w:val="00920CEA"/>
    <w:rsid w:val="009374CF"/>
    <w:rsid w:val="00AF6D2C"/>
    <w:rsid w:val="00B05F3E"/>
    <w:rsid w:val="00B42097"/>
    <w:rsid w:val="00B42E74"/>
    <w:rsid w:val="00B44573"/>
    <w:rsid w:val="00B85CC2"/>
    <w:rsid w:val="00BA1738"/>
    <w:rsid w:val="00BD36B7"/>
    <w:rsid w:val="00C23ECE"/>
    <w:rsid w:val="00C257EE"/>
    <w:rsid w:val="00C57283"/>
    <w:rsid w:val="00C60A10"/>
    <w:rsid w:val="00C8681F"/>
    <w:rsid w:val="00D45D77"/>
    <w:rsid w:val="00D872A8"/>
    <w:rsid w:val="00DB113C"/>
    <w:rsid w:val="00E003B0"/>
    <w:rsid w:val="00E05B25"/>
    <w:rsid w:val="00E3621F"/>
    <w:rsid w:val="00E77373"/>
    <w:rsid w:val="00F323C6"/>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table" w:customStyle="1" w:styleId="Grigliatabella2">
    <w:name w:val="Griglia tabella2"/>
    <w:basedOn w:val="Tabellanormale"/>
    <w:next w:val="Grigliatabella"/>
    <w:uiPriority w:val="99"/>
    <w:rsid w:val="00215F53"/>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D45D77"/>
    <w:pPr>
      <w:spacing w:after="120" w:line="480" w:lineRule="auto"/>
    </w:pPr>
  </w:style>
  <w:style w:type="character" w:customStyle="1" w:styleId="Corpodeltesto2Carattere">
    <w:name w:val="Corpo del testo 2 Carattere"/>
    <w:basedOn w:val="Carpredefinitoparagrafo"/>
    <w:link w:val="Corpodeltesto2"/>
    <w:uiPriority w:val="99"/>
    <w:semiHidden/>
    <w:rsid w:val="00D45D77"/>
  </w:style>
  <w:style w:type="table" w:customStyle="1" w:styleId="Grigliatabella3">
    <w:name w:val="Griglia tabella3"/>
    <w:basedOn w:val="Tabellanormale"/>
    <w:next w:val="Grigliatabella"/>
    <w:uiPriority w:val="99"/>
    <w:rsid w:val="00D45D77"/>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F323C6"/>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C23ECE"/>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99"/>
    <w:rsid w:val="0032047F"/>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39"/>
    <w:rsid w:val="00AF6D2C"/>
    <w:rPr>
      <w:rFonts w:ascii="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A4002-8852-407F-BFFD-93F4A4BD71B6}">
  <ds:schemaRefs>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http://www.w3.org/XML/1998/namespace"/>
    <ds:schemaRef ds:uri="http://schemas.microsoft.com/office/2006/documentManagement/types"/>
    <ds:schemaRef ds:uri="http://purl.org/dc/dcmitype/"/>
    <ds:schemaRef ds:uri="ab56de9a-99a8-4610-89ec-4f2b5972925b"/>
    <ds:schemaRef ds:uri="9e6566bf-b277-4424-8d35-cc217e43a6d6"/>
    <ds:schemaRef ds:uri="http://purl.org/dc/terms/"/>
  </ds:schemaRefs>
</ds:datastoreItem>
</file>

<file path=customXml/itemProps2.xml><?xml version="1.0" encoding="utf-8"?>
<ds:datastoreItem xmlns:ds="http://schemas.openxmlformats.org/officeDocument/2006/customXml" ds:itemID="{D24A3BF2-E36B-4BFB-975E-4A0F55180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29DF14-A660-4DFF-A93E-832E70991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2176</Words>
  <Characters>12408</Characters>
  <Application>Microsoft Office Word</Application>
  <DocSecurity>0</DocSecurity>
  <Lines>103</Lines>
  <Paragraphs>29</Paragraphs>
  <ScaleCrop>false</ScaleCrop>
  <Company/>
  <LinksUpToDate>false</LinksUpToDate>
  <CharactersWithSpaces>14555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4</cp:revision>
  <dcterms:created xsi:type="dcterms:W3CDTF">2024-05-15T13:37:00Z</dcterms:created>
  <dcterms:modified xsi:type="dcterms:W3CDTF">2024-06-26T11:32:00Z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