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706420C6" w:rsidR="00CE469C" w:rsidRPr="00BA177F" w:rsidRDefault="00CE469C" w:rsidP="00BA177F">
      <w:pPr>
        <w:pStyle w:val="Default"/>
        <w:rPr>
          <w:rFonts w:cstheme="minorBidi"/>
          <w:b/>
          <w:bCs/>
          <w:sz w:val="22"/>
          <w:szCs w:val="22"/>
        </w:rPr>
      </w:pPr>
      <w:r w:rsidRPr="00BA177F">
        <w:rPr>
          <w:b/>
          <w:bCs/>
          <w:sz w:val="22"/>
          <w:szCs w:val="22"/>
        </w:rPr>
        <w:t>OGGETTO</w:t>
      </w:r>
      <w:r w:rsidRPr="00BA177F">
        <w:rPr>
          <w:sz w:val="22"/>
          <w:szCs w:val="22"/>
        </w:rPr>
        <w:t xml:space="preserve">: </w:t>
      </w:r>
      <w:r w:rsidRPr="00BA177F">
        <w:rPr>
          <w:b/>
          <w:bCs/>
          <w:sz w:val="22"/>
          <w:szCs w:val="22"/>
        </w:rPr>
        <w:t xml:space="preserve">INDAGINE ESPLORATIVA DI MERCATO VOLTA A RACCOGLIERE PREVENTIVI INFORMALI FINALIZZATI ALL’AFFIDAMENTO </w:t>
      </w:r>
      <w:r w:rsidR="00CB5B41">
        <w:rPr>
          <w:b/>
          <w:bCs/>
          <w:sz w:val="22"/>
          <w:szCs w:val="22"/>
        </w:rPr>
        <w:t xml:space="preserve">DELLA FORNITURA </w:t>
      </w:r>
      <w:r w:rsidRPr="00BA177F">
        <w:rPr>
          <w:b/>
          <w:bCs/>
          <w:sz w:val="22"/>
          <w:szCs w:val="22"/>
        </w:rPr>
        <w:t>DI</w:t>
      </w:r>
      <w:r w:rsidR="00DE360A" w:rsidRPr="00BA177F">
        <w:rPr>
          <w:b/>
          <w:bCs/>
          <w:sz w:val="22"/>
          <w:szCs w:val="22"/>
        </w:rPr>
        <w:t xml:space="preserve"> </w:t>
      </w:r>
      <w:r w:rsidR="00CB5B41" w:rsidRPr="00CB5B41">
        <w:rPr>
          <w:rFonts w:eastAsiaTheme="minorEastAsia"/>
          <w:b/>
          <w:bCs/>
          <w:sz w:val="22"/>
          <w:szCs w:val="22"/>
        </w:rPr>
        <w:t>ATTREZZATURA PER IL POTENZIAMENTO DELL’AFM NANOSURF</w:t>
      </w:r>
      <w:r w:rsidR="00CB5B41" w:rsidRPr="00CB5B41">
        <w:rPr>
          <w:rFonts w:eastAsiaTheme="minorEastAsia"/>
          <w:b/>
          <w:bCs/>
          <w:sz w:val="22"/>
          <w:szCs w:val="22"/>
        </w:rPr>
        <w:t xml:space="preserve"> </w:t>
      </w:r>
      <w:r w:rsidR="009E3F8E" w:rsidRPr="00BA177F">
        <w:rPr>
          <w:b/>
          <w:bCs/>
          <w:sz w:val="22"/>
          <w:szCs w:val="22"/>
        </w:rPr>
        <w:t xml:space="preserve">- CUP </w:t>
      </w:r>
      <w:r w:rsidR="00BA177F" w:rsidRPr="00BA177F">
        <w:rPr>
          <w:rFonts w:eastAsiaTheme="minorEastAsia"/>
          <w:b/>
          <w:bCs/>
          <w:sz w:val="22"/>
          <w:szCs w:val="22"/>
          <w:lang w:eastAsia="it-IT"/>
        </w:rPr>
        <w:t>B53C23003410006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0F0068"/>
    <w:rsid w:val="001557F9"/>
    <w:rsid w:val="00252024"/>
    <w:rsid w:val="0042134A"/>
    <w:rsid w:val="004A7F7F"/>
    <w:rsid w:val="004C0238"/>
    <w:rsid w:val="00612524"/>
    <w:rsid w:val="007021DD"/>
    <w:rsid w:val="00786BA7"/>
    <w:rsid w:val="007A34F2"/>
    <w:rsid w:val="00837ED4"/>
    <w:rsid w:val="00844134"/>
    <w:rsid w:val="00881181"/>
    <w:rsid w:val="0088326F"/>
    <w:rsid w:val="009E3F8E"/>
    <w:rsid w:val="009F23D4"/>
    <w:rsid w:val="00A5417A"/>
    <w:rsid w:val="00A712C7"/>
    <w:rsid w:val="00B61BB6"/>
    <w:rsid w:val="00BA177F"/>
    <w:rsid w:val="00BB22A1"/>
    <w:rsid w:val="00C10515"/>
    <w:rsid w:val="00CB5B41"/>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14</cp:revision>
  <dcterms:created xsi:type="dcterms:W3CDTF">2023-10-10T09:40:00Z</dcterms:created>
  <dcterms:modified xsi:type="dcterms:W3CDTF">2024-06-28T13:01:00Z</dcterms:modified>
</cp:coreProperties>
</file>