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B87D48" w14:textId="77777777" w:rsidR="00FB601E" w:rsidRPr="00FB601E" w:rsidRDefault="00FB601E" w:rsidP="00FB601E">
      <w:pPr>
        <w:spacing w:after="160"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t>PATTO DI INTEGRITÀ</w:t>
      </w:r>
    </w:p>
    <w:p w14:paraId="0BAB128B"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b/>
          <w:bCs/>
          <w:sz w:val="22"/>
          <w:szCs w:val="22"/>
        </w:rPr>
        <w:t>TRA IL CONSIGLIO NAZIONALE DELLE RICERCHE E GLI OPERATORI ECONOMICI PARTECIPANTI ALLE PROCEDURE DI AFFIDAMENTO DI</w:t>
      </w:r>
      <w:r w:rsidRPr="00FB601E">
        <w:rPr>
          <w:rFonts w:ascii="Century Gothic" w:eastAsia="Calibri" w:hAnsi="Century Gothic" w:cs="Times New Roman"/>
          <w:b/>
          <w:bCs/>
          <w:color w:val="FF0000"/>
          <w:sz w:val="22"/>
          <w:szCs w:val="22"/>
        </w:rPr>
        <w:t xml:space="preserve"> </w:t>
      </w:r>
      <w:r w:rsidRPr="00FB601E">
        <w:rPr>
          <w:rFonts w:ascii="Century Gothic" w:eastAsia="Calibri" w:hAnsi="Century Gothic" w:cs="Times New Roman"/>
          <w:b/>
          <w:bCs/>
          <w:sz w:val="22"/>
          <w:szCs w:val="22"/>
        </w:rPr>
        <w:t>SERVIZI E FORNITURE AI SENSI DEL D.LGS. 36/2023</w:t>
      </w:r>
    </w:p>
    <w:p w14:paraId="3CF31ABD" w14:textId="77D56930" w:rsidR="00FB601E" w:rsidRPr="00FB601E" w:rsidRDefault="003B2268" w:rsidP="00FB601E">
      <w:pPr>
        <w:autoSpaceDE w:val="0"/>
        <w:autoSpaceDN w:val="0"/>
        <w:adjustRightInd w:val="0"/>
        <w:jc w:val="both"/>
        <w:rPr>
          <w:rFonts w:ascii="Century Gothic" w:eastAsia="Calibri" w:hAnsi="Century Gothic" w:cs="Times New Roman"/>
          <w:sz w:val="22"/>
          <w:szCs w:val="22"/>
        </w:rPr>
      </w:pPr>
      <w:r w:rsidRPr="003B2268">
        <w:rPr>
          <w:rFonts w:ascii="Source Sans Pro" w:eastAsia="Source Sans Pro" w:hAnsi="Source Sans Pro" w:cs="Source Sans Pro"/>
          <w:sz w:val="22"/>
          <w:szCs w:val="22"/>
        </w:rPr>
        <w:t>RELATIVO ALL’</w:t>
      </w:r>
      <w:r w:rsidRPr="00516D4B">
        <w:rPr>
          <w:rFonts w:ascii="Source Sans Pro" w:eastAsia="Source Sans Pro" w:hAnsi="Source Sans Pro" w:cs="Source Sans Pro"/>
          <w:sz w:val="22"/>
          <w:szCs w:val="22"/>
        </w:rPr>
        <w:t xml:space="preserve">AFFIDAMENTO DEL “SERVIZIO SPECIALISTICO PER L’ORGANIZZAZIONE E GESTIONE DI PERCORSI DI UPSKILLING” NELL’AMBITO DEL PIANO NAZIONALE RIPRESA E RESILIENZA (PNRR)- MISSIONE 4 COMPONENTE </w:t>
      </w:r>
      <w:r w:rsidRPr="00516D4B">
        <w:rPr>
          <w:rFonts w:ascii="Source Sans Pro" w:eastAsia="Source Sans Pro" w:hAnsi="Source Sans Pro" w:cs="Source Sans Pro"/>
          <w:caps/>
          <w:sz w:val="22"/>
          <w:szCs w:val="22"/>
        </w:rPr>
        <w:t>2 “Dalla ricerca all’impresa” INVESTIMENTO 1.4 “Potenziamento strutture di ricerca e creazione di campioni nazionali di R&amp;S” su alcune Key Enabling Technologies “ - Codice Progetto CN00000033 Spoke 8 Titolo “National Biodiversity Future Center Acronimo-NBFC” - CUP B83C22002930006</w:t>
      </w:r>
      <w:r>
        <w:rPr>
          <w:rFonts w:ascii="Source Sans Pro" w:eastAsia="Source Sans Pro" w:hAnsi="Source Sans Pro" w:cs="Source Sans Pro"/>
          <w:caps/>
          <w:sz w:val="22"/>
          <w:szCs w:val="22"/>
        </w:rPr>
        <w:t xml:space="preserve">. </w:t>
      </w:r>
      <w:r w:rsidRPr="003C6631">
        <w:rPr>
          <w:rFonts w:ascii="Source Sans Pro" w:eastAsia="Source Sans Pro" w:hAnsi="Source Sans Pro" w:cs="Source Sans Pro"/>
          <w:caps/>
          <w:sz w:val="22"/>
          <w:szCs w:val="22"/>
        </w:rPr>
        <w:t xml:space="preserve">CIG </w:t>
      </w:r>
      <w:r w:rsidR="003C6631" w:rsidRPr="003C6631">
        <w:rPr>
          <w:rFonts w:ascii="Source Sans Pro" w:eastAsia="Source Sans Pro" w:hAnsi="Source Sans Pro" w:cs="Source Sans Pro"/>
          <w:caps/>
          <w:sz w:val="22"/>
          <w:szCs w:val="22"/>
        </w:rPr>
        <w:t>B2809F59DD</w:t>
      </w:r>
    </w:p>
    <w:p w14:paraId="55559FFF" w14:textId="77777777" w:rsidR="00FB601E" w:rsidRPr="00FB601E" w:rsidRDefault="00FB601E" w:rsidP="00FB601E">
      <w:pPr>
        <w:autoSpaceDE w:val="0"/>
        <w:autoSpaceDN w:val="0"/>
        <w:adjustRightInd w:val="0"/>
        <w:jc w:val="both"/>
        <w:rPr>
          <w:rFonts w:ascii="Century Gothic" w:eastAsia="Calibri" w:hAnsi="Century Gothic" w:cs="Times New Roman"/>
          <w:bCs/>
          <w:sz w:val="22"/>
          <w:szCs w:val="22"/>
        </w:rPr>
      </w:pPr>
    </w:p>
    <w:p w14:paraId="50E7E396" w14:textId="77777777" w:rsidR="00FB601E" w:rsidRPr="00FB601E" w:rsidRDefault="00FB601E" w:rsidP="00FB601E">
      <w:pPr>
        <w:tabs>
          <w:tab w:val="left" w:pos="2505"/>
          <w:tab w:val="center" w:pos="4819"/>
        </w:tabs>
        <w:spacing w:after="160" w:line="259" w:lineRule="auto"/>
        <w:rPr>
          <w:rFonts w:ascii="Century Gothic" w:eastAsia="Calibri" w:hAnsi="Century Gothic" w:cs="Times New Roman"/>
          <w:b/>
          <w:sz w:val="22"/>
          <w:szCs w:val="22"/>
        </w:rPr>
      </w:pPr>
      <w:r w:rsidRPr="00FB601E">
        <w:rPr>
          <w:rFonts w:ascii="Century Gothic" w:eastAsia="Calibri" w:hAnsi="Century Gothic" w:cs="Times New Roman"/>
          <w:b/>
          <w:sz w:val="22"/>
          <w:szCs w:val="22"/>
        </w:rPr>
        <w:tab/>
      </w:r>
      <w:r w:rsidRPr="00FB601E">
        <w:rPr>
          <w:rFonts w:ascii="Century Gothic" w:eastAsia="Calibri" w:hAnsi="Century Gothic" w:cs="Times New Roman"/>
          <w:b/>
          <w:sz w:val="22"/>
          <w:szCs w:val="22"/>
        </w:rPr>
        <w:tab/>
        <w:t>TRA</w:t>
      </w:r>
    </w:p>
    <w:p w14:paraId="6B12C52F" w14:textId="45670631"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xml:space="preserve">L’Istituto </w:t>
      </w:r>
      <w:r>
        <w:rPr>
          <w:rFonts w:ascii="Century Gothic" w:eastAsia="Calibri" w:hAnsi="Century Gothic" w:cs="Times New Roman"/>
          <w:sz w:val="22"/>
          <w:szCs w:val="22"/>
        </w:rPr>
        <w:t>NANOTEC</w:t>
      </w:r>
      <w:r w:rsidRPr="00FB601E">
        <w:rPr>
          <w:rFonts w:ascii="Century Gothic" w:eastAsia="Calibri" w:hAnsi="Century Gothic" w:cs="Times New Roman"/>
          <w:sz w:val="22"/>
          <w:szCs w:val="22"/>
        </w:rPr>
        <w:t xml:space="preserve"> del CNR - C.F. 80054330586 (di seguito denominato CNR o Amministrazione) – in persona del Direttore </w:t>
      </w:r>
      <w:r w:rsidR="00385314">
        <w:rPr>
          <w:rFonts w:ascii="Century Gothic" w:eastAsia="Calibri" w:hAnsi="Century Gothic" w:cs="Times New Roman"/>
          <w:sz w:val="22"/>
          <w:szCs w:val="22"/>
        </w:rPr>
        <w:t>……………………</w:t>
      </w:r>
      <w:r w:rsidRPr="00FB601E">
        <w:rPr>
          <w:rFonts w:ascii="Century Gothic" w:eastAsia="Calibri" w:hAnsi="Century Gothic" w:cs="Times New Roman"/>
          <w:sz w:val="22"/>
          <w:szCs w:val="22"/>
        </w:rPr>
        <w:t>;</w:t>
      </w:r>
    </w:p>
    <w:p w14:paraId="4A239828" w14:textId="77777777" w:rsidR="00FB601E" w:rsidRPr="00FB601E" w:rsidRDefault="00FB601E" w:rsidP="00FB601E">
      <w:pPr>
        <w:spacing w:after="160"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t>E</w:t>
      </w:r>
    </w:p>
    <w:p w14:paraId="52910894" w14:textId="77777777" w:rsidR="00FB601E" w:rsidRPr="00FB601E" w:rsidRDefault="00FB601E" w:rsidP="00FB601E">
      <w:pPr>
        <w:autoSpaceDE w:val="0"/>
        <w:autoSpaceDN w:val="0"/>
        <w:adjustRightInd w:val="0"/>
        <w:rPr>
          <w:rFonts w:ascii="Century Gothic" w:eastAsia="Calibri" w:hAnsi="Century Gothic" w:cs="Times New Roman"/>
          <w:color w:val="000000"/>
          <w:sz w:val="22"/>
          <w:szCs w:val="22"/>
        </w:rPr>
      </w:pPr>
      <w:r w:rsidRPr="00FB601E">
        <w:rPr>
          <w:rFonts w:ascii="Century Gothic" w:eastAsia="Calibri" w:hAnsi="Century Gothic" w:cs="Times New Roman"/>
          <w:color w:val="000000"/>
          <w:sz w:val="22"/>
          <w:szCs w:val="22"/>
        </w:rPr>
        <w:t xml:space="preserve">L’operatore economico </w:t>
      </w:r>
      <w:r w:rsidRPr="00FB601E">
        <w:rPr>
          <w:rFonts w:ascii="Times New Roman" w:eastAsia="Calibri" w:hAnsi="Times New Roman" w:cs="Times New Roman"/>
          <w:b/>
          <w:bCs/>
          <w:color w:val="000000"/>
          <w:sz w:val="22"/>
          <w:szCs w:val="22"/>
        </w:rPr>
        <w:t xml:space="preserve">[…] </w:t>
      </w:r>
      <w:r w:rsidRPr="00FB601E">
        <w:rPr>
          <w:rFonts w:ascii="Century Gothic" w:eastAsia="Calibri" w:hAnsi="Century Gothic" w:cs="Times New Roman"/>
          <w:color w:val="000000"/>
          <w:sz w:val="22"/>
          <w:szCs w:val="22"/>
        </w:rPr>
        <w:t>(di   seguito Operatore Economico) con sede legale in […] C.F./ P. IVA […]  rappresentato da […] in qualità di […]</w:t>
      </w:r>
    </w:p>
    <w:p w14:paraId="2102EBA3" w14:textId="77777777" w:rsidR="00FB601E" w:rsidRPr="00FB601E" w:rsidRDefault="00FB601E" w:rsidP="00FB601E">
      <w:pPr>
        <w:spacing w:after="160" w:line="259" w:lineRule="auto"/>
        <w:jc w:val="center"/>
        <w:rPr>
          <w:rFonts w:ascii="Century Gothic" w:eastAsia="Calibri" w:hAnsi="Century Gothic" w:cs="Times New Roman"/>
          <w:b/>
          <w:sz w:val="22"/>
          <w:szCs w:val="22"/>
        </w:rPr>
      </w:pPr>
    </w:p>
    <w:p w14:paraId="081685D7" w14:textId="77777777" w:rsidR="00FB601E" w:rsidRPr="00FB601E" w:rsidRDefault="00FB601E" w:rsidP="00FB601E">
      <w:pPr>
        <w:spacing w:after="160"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t>VISTO</w:t>
      </w:r>
    </w:p>
    <w:p w14:paraId="6319305E"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l’art.1, comma 17, della Legge 6 novembre 2012, n.190, recante “Disposizioni per la prevenzione e la repressione della corruzione e dell’illegalità nella pubblica Amministrazione”;</w:t>
      </w:r>
    </w:p>
    <w:p w14:paraId="586166E1"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il Piano Nazionale Anticorruzione 2022 approvato dall’Autorità Nazionale Anticorruzione (di seguito denominata ANAC) con Delibera n. 7 del 17 gennaio 2023 e successivi aggiornamenti;</w:t>
      </w:r>
    </w:p>
    <w:p w14:paraId="2BB4B2B0"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E37C175"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Piano Integrato di Attività e Organizzazione (PIAO) 2023-2025 del Consiglio Nazionale delle Ricerche (CNR), adottato con delibera del Consiglio di Amministrazione n. 77/2023 del 21 marzo 2023;</w:t>
      </w:r>
    </w:p>
    <w:p w14:paraId="4C059632"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il D.P.R. 16 aprile 2013, n. 62, con il quale è stato emanato il “Regolamento recante codice di comportamento dei dipendenti pubblici, a norma dell’art. 54 del decreto legislativo 30 marzo 2001, n. 165”;</w:t>
      </w:r>
    </w:p>
    <w:p w14:paraId="0D5FDD33"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il Codice di comportamento dei dipendenti del CNR, adottato con delibera del Consiglio di amministrazione n. 132/2014 del 10 luglio 2014, aggiornato con delibera n. 137/2017 del 17 ottobre 2017;</w:t>
      </w:r>
    </w:p>
    <w:p w14:paraId="31B5A99F" w14:textId="77777777" w:rsidR="00FB601E" w:rsidRPr="00FB601E" w:rsidRDefault="00FB601E" w:rsidP="00FB601E">
      <w:pPr>
        <w:spacing w:after="160"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t>L’AMMINISTRAZIONE e L’OPERATORE ECONOMICO CONVENGONO QUANTO SEGUE</w:t>
      </w:r>
    </w:p>
    <w:p w14:paraId="2139062A" w14:textId="77777777" w:rsidR="00FB601E" w:rsidRPr="00FB601E" w:rsidRDefault="00FB601E" w:rsidP="00FB601E">
      <w:pPr>
        <w:spacing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t>Articolo 1</w:t>
      </w:r>
    </w:p>
    <w:p w14:paraId="23AE4516" w14:textId="77777777" w:rsidR="00FB601E" w:rsidRPr="00FB601E" w:rsidRDefault="00FB601E" w:rsidP="00FB601E">
      <w:pPr>
        <w:spacing w:after="160"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lastRenderedPageBreak/>
        <w:t>(Finalità ed ambito di applicazione)</w:t>
      </w:r>
    </w:p>
    <w:p w14:paraId="6F9D2FEF"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xml:space="preserve">1. Il presente Patto di integrità rappresenta una misura di prevenzione nei confronti di pratiche corruttive, </w:t>
      </w:r>
      <w:proofErr w:type="spellStart"/>
      <w:r w:rsidRPr="00FB601E">
        <w:rPr>
          <w:rFonts w:ascii="Century Gothic" w:eastAsia="Calibri" w:hAnsi="Century Gothic" w:cs="Times New Roman"/>
          <w:sz w:val="22"/>
          <w:szCs w:val="22"/>
        </w:rPr>
        <w:t>concussive</w:t>
      </w:r>
      <w:proofErr w:type="spellEnd"/>
      <w:r w:rsidRPr="00FB601E">
        <w:rPr>
          <w:rFonts w:ascii="Century Gothic" w:eastAsia="Calibri" w:hAnsi="Century Gothic" w:cs="Times New Roman"/>
          <w:sz w:val="22"/>
          <w:szCs w:val="22"/>
        </w:rPr>
        <w:t xml:space="preserve"> o comunque tendenti ad inficiare il corretto svolgimento dell’azione amministrativa nell’ambito dei pubblici appalti banditi dall’Amministrazione.</w:t>
      </w:r>
    </w:p>
    <w:p w14:paraId="7C44E6F2"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2. Nel Patto sono stabilite reciproche e formali obbligazioni tra l’Amministrazione ed ogni Operatore Economico partecipante alla procedura di gara ed eventualmente aggiudicatario della stessa, al fine di conformare i propri comportamenti ai principi di lealtà, trasparenza e correttezza in tutte le fasi dell’appalto, dalla partecipazione alla esecuzione contrattuale.</w:t>
      </w:r>
    </w:p>
    <w:p w14:paraId="7A5CCD51"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e/o per distorcerne la relativa corretta esecuzione in corso d’opera.</w:t>
      </w:r>
    </w:p>
    <w:p w14:paraId="553DA2EC" w14:textId="77777777" w:rsidR="00FB601E" w:rsidRPr="00FB601E" w:rsidRDefault="00FB601E" w:rsidP="00FB601E">
      <w:pPr>
        <w:spacing w:after="160" w:line="259" w:lineRule="auto"/>
        <w:jc w:val="both"/>
        <w:rPr>
          <w:rFonts w:ascii="Century Gothic" w:eastAsia="Calibri" w:hAnsi="Century Gothic" w:cs="Times New Roman"/>
          <w:b/>
          <w:bCs/>
          <w:sz w:val="22"/>
          <w:szCs w:val="22"/>
        </w:rPr>
      </w:pPr>
      <w:r w:rsidRPr="00FB601E">
        <w:rPr>
          <w:rFonts w:ascii="Century Gothic" w:eastAsia="Calibri" w:hAnsi="Century Gothic" w:cs="Times New Roman"/>
          <w:sz w:val="22"/>
          <w:szCs w:val="22"/>
        </w:rPr>
        <w:t>4. Il presente Patto trova applicazione in tutte le procedure di gara sopra e sottosoglia comunitaria</w:t>
      </w:r>
      <w:r w:rsidRPr="00FB601E">
        <w:rPr>
          <w:rFonts w:ascii="Century Gothic" w:eastAsia="Calibri" w:hAnsi="Century Gothic" w:cs="Times New Roman"/>
          <w:b/>
          <w:bCs/>
          <w:sz w:val="22"/>
          <w:szCs w:val="22"/>
        </w:rPr>
        <w:t xml:space="preserve">, </w:t>
      </w:r>
      <w:r w:rsidRPr="00FB601E">
        <w:rPr>
          <w:rFonts w:ascii="Century Gothic" w:eastAsia="Calibri" w:hAnsi="Century Gothic" w:cs="Times New Roman"/>
          <w:sz w:val="22"/>
          <w:szCs w:val="22"/>
        </w:rPr>
        <w:t>salvo che per l’affidamento specifico sussista già un apposito Patto di integrità predisposto da altro soggetto giuridico (ad es. Consip). Nelle procedure sottosoglia si intendono ricompresi anche gli affidamenti diretti effettuati entro</w:t>
      </w:r>
      <w:r w:rsidRPr="00FB601E">
        <w:rPr>
          <w:rFonts w:ascii="Century Gothic" w:eastAsia="Calibri" w:hAnsi="Century Gothic" w:cs="Times New Roman"/>
          <w:color w:val="FF0000"/>
          <w:sz w:val="22"/>
          <w:szCs w:val="22"/>
        </w:rPr>
        <w:t xml:space="preserve"> </w:t>
      </w:r>
      <w:r w:rsidRPr="00FB601E">
        <w:rPr>
          <w:rFonts w:ascii="Century Gothic" w:eastAsia="Calibri" w:hAnsi="Century Gothic" w:cs="Times New Roman"/>
          <w:sz w:val="22"/>
          <w:szCs w:val="22"/>
        </w:rPr>
        <w:t>il limite dei 139.000,00 euro (centoquarantamila euro/00)</w:t>
      </w:r>
      <w:r w:rsidRPr="00FB601E">
        <w:rPr>
          <w:rFonts w:ascii="Century Gothic" w:eastAsia="Calibri" w:hAnsi="Century Gothic" w:cs="Times New Roman"/>
          <w:b/>
          <w:bCs/>
          <w:sz w:val="22"/>
          <w:szCs w:val="22"/>
        </w:rPr>
        <w:t>.</w:t>
      </w:r>
    </w:p>
    <w:p w14:paraId="38A0135F"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xml:space="preserve">5. Esso 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già menzionate procedure di gara. </w:t>
      </w:r>
    </w:p>
    <w:p w14:paraId="701402F8"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bCs/>
          <w:sz w:val="22"/>
          <w:szCs w:val="22"/>
        </w:rPr>
        <w:t>6</w:t>
      </w:r>
      <w:r w:rsidRPr="00FB601E">
        <w:rPr>
          <w:rFonts w:ascii="Century Gothic" w:eastAsia="Calibri" w:hAnsi="Century Gothic" w:cs="Times New Roman"/>
          <w:b/>
          <w:bCs/>
          <w:sz w:val="22"/>
          <w:szCs w:val="22"/>
        </w:rPr>
        <w:t xml:space="preserve">. </w:t>
      </w:r>
      <w:r w:rsidRPr="00FB601E">
        <w:rPr>
          <w:rFonts w:ascii="Century Gothic" w:eastAsia="Calibri" w:hAnsi="Century Gothic" w:cs="Times New Roman"/>
          <w:sz w:val="22"/>
          <w:szCs w:val="22"/>
        </w:rPr>
        <w:t>Il Patto di integrità, altresì, regola i comportamenti di ogni soggetto dell’Amministrazione impiegato – sotto qualunque forma di rapporto contrattuale previsto dalla vigente normativa – nell’ambito delle procedure di gara, nonché nella fase di esecuzione del conseguente contratto. I medesimi soggetti sono, altresì, a conoscenza del contenuto del presente Patto d’Integrità, il cui spirito condividono pienamente, nonché delle sanzioni previste a loro carico in caso di mancato rispetto dello stesso.</w:t>
      </w:r>
    </w:p>
    <w:p w14:paraId="4AC2CDAB" w14:textId="77777777" w:rsidR="00FB601E" w:rsidRPr="00FB601E" w:rsidRDefault="00FB601E" w:rsidP="00FB601E">
      <w:pPr>
        <w:spacing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xml:space="preserve">7. Il Patto, sottoscritto per accettazione dal legale rappresentante e dall’eventuale Direttore/i Tecnico/i dell’Operatore Economico, deve essere allegato alla documentazione di gara nell’ambito di qualsiasi procedura di affidamento e gestione degli appalti di forniture, servizi e lavori esperita dall’Amministrazione – ivi incluse le ipotesi di affidamento diretto – costituendo, altresì, parte integrante del conseguente contratto. </w:t>
      </w:r>
    </w:p>
    <w:p w14:paraId="2E58F06A" w14:textId="77777777" w:rsidR="00FB601E" w:rsidRPr="00FB601E" w:rsidRDefault="00FB601E" w:rsidP="00FB601E">
      <w:pPr>
        <w:spacing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xml:space="preserve">Nel caso di Consorzi o Raggruppamenti Temporanei di Imprese, il Patto va sottoscritto dal legale rappresentante del Consorzio nonché di ciascuna delle Imprese consorziate o raggruppate e dagli eventuali Direttori Tecnici. </w:t>
      </w:r>
    </w:p>
    <w:p w14:paraId="250BDD70" w14:textId="77777777" w:rsidR="00FB601E" w:rsidRPr="00FB601E" w:rsidRDefault="00FB601E" w:rsidP="00FB601E">
      <w:pPr>
        <w:spacing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Nel caso di ricorso all’avvalimento, il Patto va sottoscritto anche dal legale rappresentante dell’ausiliaria e dall’eventuale Direttore Tecnico.</w:t>
      </w:r>
    </w:p>
    <w:p w14:paraId="533ADDBD"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lastRenderedPageBreak/>
        <w:t>Nel caso di subappalto – laddove consentito – il Patto va sottoscritto anche dal legale rappresentante del soggetto affidatario del subappalto medesimo, e dall’eventuale Direttore Tecnico.</w:t>
      </w:r>
    </w:p>
    <w:p w14:paraId="14598384"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8. La presentazione del Patto, sottoscritto per accettazione incondizionata delle relative prescrizioni, costituisce per l’Operatore Economico condizione essenziale per l’ammissione alla procedura di gara, pena l’esclusione dalla medesima. La carenza della dichiarazione di accettazione del Patto di integrità o la mancata produzione dello stesso debitamente sottoscritto dal concorrente, sono regolarizzabili attraverso la procedura di soccorso istruttorio di cui all’art. 101 del Codice dei Contratti pubblici.</w:t>
      </w:r>
    </w:p>
    <w:p w14:paraId="491708FD" w14:textId="77777777" w:rsidR="00FB601E" w:rsidRPr="00FB601E" w:rsidRDefault="00FB601E" w:rsidP="00FB601E">
      <w:pPr>
        <w:spacing w:line="259" w:lineRule="auto"/>
        <w:jc w:val="center"/>
        <w:rPr>
          <w:rFonts w:ascii="Century Gothic" w:eastAsia="Calibri" w:hAnsi="Century Gothic" w:cs="Times New Roman"/>
          <w:b/>
          <w:sz w:val="22"/>
          <w:szCs w:val="22"/>
        </w:rPr>
      </w:pPr>
    </w:p>
    <w:p w14:paraId="13C0A7EE" w14:textId="77777777" w:rsidR="00FB601E" w:rsidRPr="00FB601E" w:rsidRDefault="00FB601E" w:rsidP="00FB601E">
      <w:pPr>
        <w:spacing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t>Articolo 2</w:t>
      </w:r>
    </w:p>
    <w:p w14:paraId="60F71D04" w14:textId="77777777" w:rsidR="00FB601E" w:rsidRPr="00FB601E" w:rsidRDefault="00FB601E" w:rsidP="00FB601E">
      <w:pPr>
        <w:spacing w:after="160"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t>(Obblighi dell’Operatore Economico)</w:t>
      </w:r>
    </w:p>
    <w:p w14:paraId="03210E34"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1. L’Operatore Economico conforma la propria condotta ai principi di lealtà, trasparenza e correttezza.</w:t>
      </w:r>
    </w:p>
    <w:p w14:paraId="262A9C03"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2. L’Operatore Economico si obbliga a non offrire somme di denaro, utilità, vantaggi, benefici o qualsiasi altra ricompensa, sia direttamente che indirettamente tramite intermediari, al personale dell’Amministrazione, ovvero a terzi, ai fini dell’aggiudicazione della gara o di distorcerne il corretto svolgimento, nonché ai fini dell’assegnazione del contratto o di distorcerne la corretta e regolare esecuzione.</w:t>
      </w:r>
    </w:p>
    <w:p w14:paraId="4BAFDEA2"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3. L’Operatore Economico, salvi ed impregiudicati gli obblighi legali di denuncia alla competente Autorità Giudiziaria, si impegna:</w:t>
      </w:r>
    </w:p>
    <w:p w14:paraId="34FCB888" w14:textId="77777777" w:rsidR="00FB601E" w:rsidRPr="00FB601E" w:rsidRDefault="00FB601E" w:rsidP="00FB601E">
      <w:pPr>
        <w:spacing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a) a segnalare all’Amministrazione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dell’Amministrazione stessa;</w:t>
      </w:r>
    </w:p>
    <w:p w14:paraId="5E3FFE6A" w14:textId="77777777" w:rsidR="00FB601E" w:rsidRPr="00FB601E" w:rsidRDefault="00FB601E" w:rsidP="00FB601E">
      <w:pPr>
        <w:spacing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b) a segnalare all’Amministrazione qualsiasi illecita richiesta o pretesa da parte di dipendenti dell’Amministrazione stessa o di chiunque possa influenzare le decisioni relative alla procedura di affidamento o all’esecuzione del contratto;</w:t>
      </w:r>
    </w:p>
    <w:p w14:paraId="58100D83" w14:textId="77777777" w:rsidR="00FB601E" w:rsidRPr="00FB601E" w:rsidRDefault="00FB601E" w:rsidP="00FB601E">
      <w:pPr>
        <w:spacing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c) qualora i fatti di cui ai precedenti punti a) e b) ne costituiscano il presupposto, a sporgere denuncia alle Autorità competenti e di segnalare il fatto all’ANAC,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7AE32EBB" w14:textId="77777777" w:rsidR="00FB601E" w:rsidRPr="00FB601E" w:rsidRDefault="00FB601E" w:rsidP="00FB601E">
      <w:pPr>
        <w:spacing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xml:space="preserve">d) a non conferire incarichi o stipulare contratti con i soggetti di cui all’art. 53, comma 16-ter, del D. Lgs. n.  165/2001 e </w:t>
      </w:r>
      <w:proofErr w:type="spellStart"/>
      <w:r w:rsidRPr="00FB601E">
        <w:rPr>
          <w:rFonts w:ascii="Century Gothic" w:eastAsia="Calibri" w:hAnsi="Century Gothic" w:cs="Times New Roman"/>
          <w:sz w:val="22"/>
          <w:szCs w:val="22"/>
        </w:rPr>
        <w:t>s.m.i.</w:t>
      </w:r>
      <w:proofErr w:type="spellEnd"/>
    </w:p>
    <w:p w14:paraId="7884BB75"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xml:space="preserve">Agli stessi obblighi è tenuto anche l’aggiudicatario della gara nella fase dell’esecuzione del contratto, nonché tutti gli eventuali subcontraenti della stessa. A tal fine la clausola che </w:t>
      </w:r>
      <w:r w:rsidRPr="00FB601E">
        <w:rPr>
          <w:rFonts w:ascii="Century Gothic" w:eastAsia="Calibri" w:hAnsi="Century Gothic" w:cs="Times New Roman"/>
          <w:sz w:val="22"/>
          <w:szCs w:val="22"/>
        </w:rPr>
        <w:lastRenderedPageBreak/>
        <w:t>prevede il rispetto degli obblighi di cui al presente Patto di integrità, sarà inserita nei contratti stipulati dall’Operatore economico con i propri subcontraenti.</w:t>
      </w:r>
    </w:p>
    <w:p w14:paraId="17187DB4"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4. Il legale rappresentante dell’Operatore Economico informa prontamente e puntualmente tutto il personale di cui si avvale (dipendenti, consulenti, collaboratori e/o subappaltatori) circa il presente Patto di integrità e gli obblighi in esso contenuti e vigila scrupolosamente sulla loro osservanza.</w:t>
      </w:r>
    </w:p>
    <w:p w14:paraId="219B2228"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5. Il legale rappresentante dell’Operatore Economico segnala eventuali situazioni di conflitto di interesse, di cui sia a conoscenza, rispetto al personale dell’Amministrazione.</w:t>
      </w:r>
    </w:p>
    <w:p w14:paraId="577A221C"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6. Il legale rappresentante dell’Operatore Economico dichiara:</w:t>
      </w:r>
    </w:p>
    <w:p w14:paraId="037B7440" w14:textId="77777777" w:rsidR="00FB601E" w:rsidRPr="00FB601E" w:rsidRDefault="00FB601E" w:rsidP="00FB601E">
      <w:pPr>
        <w:spacing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xml:space="preserve">- di non avere influenzato il procedimento amministrativo diretto a stabilire il contenuto del bando o di altro atto equipollente al fine di condizionare le modalità di scelta del contraente da parte dell’Amministrazione; </w:t>
      </w:r>
    </w:p>
    <w:p w14:paraId="32277A31" w14:textId="77777777" w:rsidR="00FB601E" w:rsidRPr="00FB601E" w:rsidRDefault="00FB601E" w:rsidP="00FB601E">
      <w:pPr>
        <w:spacing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di non trovarsi in situazioni di controllo o di collegamento (formale e/o sostanziale) con altri concorrenti, tali da comportare l’imputazione delle relative offerte ad un unico centro decisionale, e che non si è accordato e non si accorderà con altri partecipanti alla gara per limitare o eludere in alcun modo la libera concorrenza;</w:t>
      </w:r>
    </w:p>
    <w:p w14:paraId="2F877375" w14:textId="77777777" w:rsidR="00FB601E" w:rsidRPr="00FB601E" w:rsidRDefault="00FB601E" w:rsidP="00FB601E">
      <w:pPr>
        <w:spacing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di non trovarsi in altre situazioni ritenute incompatibili con la partecipazione alle gare dal Codice dei Contratti pubblici, dal Codice civile ovvero dalle altre disposizioni normative vigenti;</w:t>
      </w:r>
    </w:p>
    <w:p w14:paraId="7A65182E" w14:textId="77777777" w:rsidR="00FB601E" w:rsidRPr="00FB601E" w:rsidRDefault="00FB601E" w:rsidP="00FB601E">
      <w:pPr>
        <w:spacing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xml:space="preserve">- di non aver conferito incarichi ai soggetti di cui all’art. 53, comma 16-ter, del D. Lgs. n. 165/2001 e </w:t>
      </w:r>
      <w:proofErr w:type="spellStart"/>
      <w:r w:rsidRPr="00FB601E">
        <w:rPr>
          <w:rFonts w:ascii="Century Gothic" w:eastAsia="Calibri" w:hAnsi="Century Gothic" w:cs="Times New Roman"/>
          <w:sz w:val="22"/>
          <w:szCs w:val="22"/>
        </w:rPr>
        <w:t>s.m.i.</w:t>
      </w:r>
      <w:proofErr w:type="spellEnd"/>
      <w:r w:rsidRPr="00FB601E">
        <w:rPr>
          <w:rFonts w:ascii="Century Gothic" w:eastAsia="Calibri" w:hAnsi="Century Gothic" w:cs="Times New Roman"/>
          <w:sz w:val="22"/>
          <w:szCs w:val="22"/>
        </w:rPr>
        <w:t>, o di non aver stipulato contratti con i medesimi soggetti;</w:t>
      </w:r>
    </w:p>
    <w:p w14:paraId="135DA442" w14:textId="77777777" w:rsidR="00FB601E" w:rsidRPr="00FB601E" w:rsidRDefault="00FB601E" w:rsidP="00FB601E">
      <w:pPr>
        <w:spacing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di essere consapevole che, qualora venga accertata la violazione del suddetto divieto di cui all’art. 53, comma 16-ter, del D. Lgs. n. 165/2001 verrà disposta l’immediata esclusione dalla partecipazione alla procedura d’affidamento;</w:t>
      </w:r>
    </w:p>
    <w:p w14:paraId="0A734216"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di impegnarsi a rendere noti, su richiesta dell’Amministrazione, tutti i pagamenti eseguiti e riguardanti il contratto eventualmente assegnatogli a seguito della procedura di affidamento.</w:t>
      </w:r>
    </w:p>
    <w:p w14:paraId="02BAEBC3" w14:textId="77777777" w:rsidR="00FB601E" w:rsidRPr="00FB601E" w:rsidRDefault="00FB601E" w:rsidP="00FB601E">
      <w:pPr>
        <w:spacing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t>Articolo 3</w:t>
      </w:r>
    </w:p>
    <w:p w14:paraId="57F339EE" w14:textId="77777777" w:rsidR="00FB601E" w:rsidRPr="00FB601E" w:rsidRDefault="00FB601E" w:rsidP="00FB601E">
      <w:pPr>
        <w:spacing w:after="160"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t>(Obblighi dell’Amministrazione)</w:t>
      </w:r>
    </w:p>
    <w:p w14:paraId="2902521B" w14:textId="77777777" w:rsidR="00FB601E" w:rsidRPr="00FB601E" w:rsidRDefault="00FB601E" w:rsidP="00FB601E">
      <w:pPr>
        <w:spacing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xml:space="preserve">1. L’Amministrazione conforma la propria condotta ai principi di lealtà, trasparenza e correttezza. </w:t>
      </w:r>
    </w:p>
    <w:p w14:paraId="59149CD7"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In particolare,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06D1C571"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2. L’Amministrazione informa il proprio personale e tutti i soggetti in essa operanti, a qualsiasi titolo coinvolti nella procedura di gara sopra indicata e nelle fasi di vigilanza, controllo e gestione dell’esecuzione del relativo contratto qualora assegnato, circa il presente Patto di integrità e gli obblighi in esso contenuti, vigilando sulla loro osservanza.</w:t>
      </w:r>
    </w:p>
    <w:p w14:paraId="389031A7"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3. L’Amministrazione attiverà le procedure di legge nei confronti del personale che non conformi il proprio operato ai principi richiamati al comma primo del presente articolo</w:t>
      </w:r>
      <w:r w:rsidRPr="00FB601E">
        <w:rPr>
          <w:rFonts w:ascii="Century Gothic" w:eastAsia="Calibri" w:hAnsi="Century Gothic" w:cs="Times New Roman"/>
          <w:b/>
          <w:bCs/>
          <w:sz w:val="22"/>
          <w:szCs w:val="22"/>
        </w:rPr>
        <w:t xml:space="preserve">, </w:t>
      </w:r>
      <w:r w:rsidRPr="00FB601E">
        <w:rPr>
          <w:rFonts w:ascii="Century Gothic" w:eastAsia="Calibri" w:hAnsi="Century Gothic" w:cs="Times New Roman"/>
          <w:sz w:val="22"/>
          <w:szCs w:val="22"/>
        </w:rPr>
        <w:t xml:space="preserve">alle </w:t>
      </w:r>
      <w:r w:rsidRPr="00FB601E">
        <w:rPr>
          <w:rFonts w:ascii="Century Gothic" w:eastAsia="Calibri" w:hAnsi="Century Gothic" w:cs="Times New Roman"/>
          <w:sz w:val="22"/>
          <w:szCs w:val="22"/>
        </w:rPr>
        <w:lastRenderedPageBreak/>
        <w:t>disposizioni contenute nel codice di comportamento dei dipendenti pubblici di cui al D.P.R. 16 aprile 2013, n.62, nonché a quelle prescritte nel Codice di comportamento dei dipendenti dell’Amministrazione.</w:t>
      </w:r>
    </w:p>
    <w:p w14:paraId="0ECDB6F4"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4. L’Amministrazione aprirà un procedimento istruttorio per la verifica di ogni eventuale segnalazione ricevuta in merito a condotte anomale attuate dal proprio personale in relazione al procedimento di gara ed alle fasi di esecuzione del contratto.</w:t>
      </w:r>
    </w:p>
    <w:p w14:paraId="04F0559B"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5. L’Amministrazione formalizza l’accertamento delle violazioni del presente Patto di integrità, nel rispetto del principio del contraddittorio.</w:t>
      </w:r>
    </w:p>
    <w:p w14:paraId="1310E02C" w14:textId="77777777" w:rsidR="00FB601E" w:rsidRPr="00FB601E" w:rsidRDefault="00FB601E" w:rsidP="00FB601E">
      <w:pPr>
        <w:spacing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t>Articolo 4</w:t>
      </w:r>
    </w:p>
    <w:p w14:paraId="0974A8B1" w14:textId="77777777" w:rsidR="00FB601E" w:rsidRPr="00FB601E" w:rsidRDefault="00FB601E" w:rsidP="00FB601E">
      <w:pPr>
        <w:spacing w:after="160"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t xml:space="preserve">(Violazione degli obblighi assunti con il Patto di integrità) </w:t>
      </w:r>
    </w:p>
    <w:p w14:paraId="5B784453"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xml:space="preserve">1. La violazione degli obblighi di cui al precedente art. 2 è dichiarata all’esito di un procedimento di verifica nel corso del quale verrà garantito adeguato contraddittorio con l’Operatore economico coinvolto nel procedimento. </w:t>
      </w:r>
    </w:p>
    <w:p w14:paraId="2FE1FC92"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bCs/>
          <w:sz w:val="22"/>
          <w:szCs w:val="22"/>
        </w:rPr>
        <w:t>2</w:t>
      </w:r>
      <w:r w:rsidRPr="00FB601E">
        <w:rPr>
          <w:rFonts w:ascii="Century Gothic" w:eastAsia="Calibri" w:hAnsi="Century Gothic" w:cs="Times New Roman"/>
          <w:b/>
          <w:bCs/>
          <w:sz w:val="22"/>
          <w:szCs w:val="22"/>
        </w:rPr>
        <w:t xml:space="preserve">. </w:t>
      </w:r>
      <w:r w:rsidRPr="00FB601E">
        <w:rPr>
          <w:rFonts w:ascii="Century Gothic" w:eastAsia="Calibri" w:hAnsi="Century Gothic" w:cs="Times New Roman"/>
          <w:sz w:val="22"/>
          <w:szCs w:val="22"/>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0BA32D68"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esclusione dalla procedura di affidamento ed escussione della cauzione, se la violazione è accertata nella fase precedente all’aggiudicazione dell’appalto;</w:t>
      </w:r>
    </w:p>
    <w:p w14:paraId="0E11A362"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revoca dell’aggiudicazione ed escussione della cauzione se la violazione è accertata nella fase successiva all’aggiudicazione dell’appalto, ma precedente alla stipula del contratto;</w:t>
      </w:r>
    </w:p>
    <w:p w14:paraId="55B5ADB5"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risoluzione del contratto, ai sensi e per gli effetti dell’art. 1456 del Codice civile, ed escussione della cauzione definitiva, se la violazione è accertata nella fase di esecuzione dell’appalto;</w:t>
      </w:r>
    </w:p>
    <w:p w14:paraId="35D5E10E"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 segnalazione del fatto all’ANAC ed alle competenti Autorità.</w:t>
      </w:r>
    </w:p>
    <w:p w14:paraId="6927A9EE"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3. 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1AEF31E"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4. In ogni caso, l’accertamento di una violazione degli obblighi assunti con il presente Patto di Integrità costituisce legittima causa di esclusione dell’Operatore Economico dalla partecipazione alle procedure di affidamento degli appalti di lavori, forniture e servizi bandite dall’Amministrazione per il successivo anno.</w:t>
      </w:r>
    </w:p>
    <w:p w14:paraId="1FB18FB5" w14:textId="77777777" w:rsidR="00FB601E" w:rsidRPr="00FB601E" w:rsidRDefault="00FB601E" w:rsidP="00FB601E">
      <w:pPr>
        <w:spacing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t>Articolo 5</w:t>
      </w:r>
    </w:p>
    <w:p w14:paraId="79E2C301" w14:textId="77777777" w:rsidR="00FB601E" w:rsidRPr="00FB601E" w:rsidRDefault="00FB601E" w:rsidP="00FB601E">
      <w:pPr>
        <w:spacing w:after="160"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t>(Efficacia del patto di integrità)</w:t>
      </w:r>
    </w:p>
    <w:p w14:paraId="0B5FFCAC"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Il presente Patto di integrità e le relative sanzioni si applicano dall’avvio della procedura di affidamento sino alla completa esecuzione del contratto assegnato a seguito della procedura medesima.</w:t>
      </w:r>
    </w:p>
    <w:p w14:paraId="7C6CF6F9" w14:textId="77777777" w:rsidR="00FB601E" w:rsidRPr="00FB601E" w:rsidRDefault="00FB601E" w:rsidP="00FB601E">
      <w:pPr>
        <w:spacing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lastRenderedPageBreak/>
        <w:t>Articolo 6</w:t>
      </w:r>
    </w:p>
    <w:p w14:paraId="7B4B99E7" w14:textId="77777777" w:rsidR="00FB601E" w:rsidRPr="00FB601E" w:rsidRDefault="00FB601E" w:rsidP="00FB601E">
      <w:pPr>
        <w:spacing w:after="160" w:line="259" w:lineRule="auto"/>
        <w:jc w:val="center"/>
        <w:rPr>
          <w:rFonts w:ascii="Century Gothic" w:eastAsia="Calibri" w:hAnsi="Century Gothic" w:cs="Times New Roman"/>
          <w:b/>
          <w:sz w:val="22"/>
          <w:szCs w:val="22"/>
        </w:rPr>
      </w:pPr>
      <w:r w:rsidRPr="00FB601E">
        <w:rPr>
          <w:rFonts w:ascii="Century Gothic" w:eastAsia="Calibri" w:hAnsi="Century Gothic" w:cs="Times New Roman"/>
          <w:b/>
          <w:sz w:val="22"/>
          <w:szCs w:val="22"/>
        </w:rPr>
        <w:t>(Controversie)</w:t>
      </w:r>
    </w:p>
    <w:p w14:paraId="1E5C1F0B"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Ogni controversia relativa all’interpretazione ed alla esecuzione del presente Patto di Integrità fra l’Amministrazione e gli Operatori Economici, ovvero tra gli stessi Operatori Economici sarà risolta, in via esclusiva, dal Foro di Roma.</w:t>
      </w:r>
    </w:p>
    <w:p w14:paraId="4F1FA0AB" w14:textId="77777777" w:rsidR="00FB601E" w:rsidRPr="00FB601E" w:rsidRDefault="00FB601E" w:rsidP="00FB601E">
      <w:pPr>
        <w:spacing w:after="160" w:line="259" w:lineRule="auto"/>
        <w:jc w:val="both"/>
        <w:rPr>
          <w:rFonts w:ascii="Century Gothic" w:eastAsia="Calibri" w:hAnsi="Century Gothic" w:cs="Times New Roman"/>
          <w:sz w:val="22"/>
          <w:szCs w:val="22"/>
        </w:rPr>
      </w:pPr>
      <w:r w:rsidRPr="00FB601E">
        <w:rPr>
          <w:rFonts w:ascii="Century Gothic" w:eastAsia="Calibri" w:hAnsi="Century Gothic" w:cs="Times New Roman"/>
          <w:sz w:val="22"/>
          <w:szCs w:val="22"/>
        </w:rPr>
        <w:t>Data,</w:t>
      </w: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FB601E" w:rsidRPr="00FB601E" w14:paraId="07E6D927" w14:textId="77777777" w:rsidTr="00921063">
        <w:tc>
          <w:tcPr>
            <w:tcW w:w="3964" w:type="dxa"/>
          </w:tcPr>
          <w:p w14:paraId="0B639864" w14:textId="77777777" w:rsidR="00FB601E" w:rsidRPr="00FB601E" w:rsidRDefault="00FB601E" w:rsidP="00FB601E">
            <w:pPr>
              <w:spacing w:after="160" w:line="259" w:lineRule="auto"/>
              <w:jc w:val="center"/>
              <w:rPr>
                <w:rFonts w:ascii="Century Gothic" w:eastAsia="Calibri" w:hAnsi="Century Gothic" w:cs="Times New Roman"/>
              </w:rPr>
            </w:pPr>
            <w:r w:rsidRPr="00FB601E">
              <w:rPr>
                <w:rFonts w:ascii="Century Gothic" w:eastAsia="Calibri" w:hAnsi="Century Gothic" w:cs="Times New Roman"/>
              </w:rPr>
              <w:t>L’Amministrazione</w:t>
            </w:r>
          </w:p>
        </w:tc>
        <w:tc>
          <w:tcPr>
            <w:tcW w:w="1843" w:type="dxa"/>
          </w:tcPr>
          <w:p w14:paraId="06D9E6C2" w14:textId="77777777" w:rsidR="00FB601E" w:rsidRPr="00FB601E" w:rsidRDefault="00FB601E" w:rsidP="00FB601E">
            <w:pPr>
              <w:spacing w:after="160" w:line="259" w:lineRule="auto"/>
              <w:jc w:val="center"/>
              <w:rPr>
                <w:rFonts w:ascii="Century Gothic" w:eastAsia="Calibri" w:hAnsi="Century Gothic" w:cs="Times New Roman"/>
              </w:rPr>
            </w:pPr>
          </w:p>
        </w:tc>
        <w:tc>
          <w:tcPr>
            <w:tcW w:w="3821" w:type="dxa"/>
          </w:tcPr>
          <w:p w14:paraId="70765D51" w14:textId="77777777" w:rsidR="00FB601E" w:rsidRPr="00FB601E" w:rsidRDefault="00FB601E" w:rsidP="00FB601E">
            <w:pPr>
              <w:spacing w:after="160" w:line="259" w:lineRule="auto"/>
              <w:jc w:val="center"/>
              <w:rPr>
                <w:rFonts w:ascii="Century Gothic" w:eastAsia="Calibri" w:hAnsi="Century Gothic" w:cs="Times New Roman"/>
              </w:rPr>
            </w:pPr>
            <w:r w:rsidRPr="00FB601E">
              <w:rPr>
                <w:rFonts w:ascii="Century Gothic" w:eastAsia="Calibri" w:hAnsi="Century Gothic" w:cs="Times New Roman"/>
              </w:rPr>
              <w:t>L’Operatore Economico</w:t>
            </w:r>
          </w:p>
        </w:tc>
      </w:tr>
      <w:tr w:rsidR="00FB601E" w:rsidRPr="00FB601E" w14:paraId="41A1D967" w14:textId="77777777" w:rsidTr="00921063">
        <w:tc>
          <w:tcPr>
            <w:tcW w:w="3964" w:type="dxa"/>
          </w:tcPr>
          <w:p w14:paraId="3E254FDC" w14:textId="77777777" w:rsidR="00FB601E" w:rsidRPr="00FB601E" w:rsidRDefault="00FB601E" w:rsidP="00FB601E">
            <w:pPr>
              <w:spacing w:after="160" w:line="259" w:lineRule="auto"/>
              <w:jc w:val="both"/>
              <w:rPr>
                <w:rFonts w:ascii="Century Gothic" w:eastAsia="Calibri" w:hAnsi="Century Gothic" w:cs="Times New Roman"/>
              </w:rPr>
            </w:pPr>
          </w:p>
        </w:tc>
        <w:tc>
          <w:tcPr>
            <w:tcW w:w="1843" w:type="dxa"/>
          </w:tcPr>
          <w:p w14:paraId="38758895" w14:textId="77777777" w:rsidR="00FB601E" w:rsidRPr="00FB601E" w:rsidRDefault="00FB601E" w:rsidP="00FB601E">
            <w:pPr>
              <w:spacing w:after="160" w:line="259" w:lineRule="auto"/>
              <w:jc w:val="both"/>
              <w:rPr>
                <w:rFonts w:ascii="Century Gothic" w:eastAsia="Calibri" w:hAnsi="Century Gothic" w:cs="Times New Roman"/>
              </w:rPr>
            </w:pPr>
          </w:p>
        </w:tc>
        <w:tc>
          <w:tcPr>
            <w:tcW w:w="3821" w:type="dxa"/>
          </w:tcPr>
          <w:p w14:paraId="100597EB" w14:textId="77777777" w:rsidR="00FB601E" w:rsidRPr="00FB601E" w:rsidRDefault="00FB601E" w:rsidP="00FB601E">
            <w:pPr>
              <w:spacing w:after="160" w:line="259" w:lineRule="auto"/>
              <w:jc w:val="both"/>
              <w:rPr>
                <w:rFonts w:ascii="Century Gothic" w:eastAsia="Calibri" w:hAnsi="Century Gothic" w:cs="Times New Roman"/>
              </w:rPr>
            </w:pPr>
          </w:p>
        </w:tc>
      </w:tr>
      <w:tr w:rsidR="00FB601E" w:rsidRPr="00FB601E" w14:paraId="0DA276E9" w14:textId="77777777" w:rsidTr="00921063">
        <w:tc>
          <w:tcPr>
            <w:tcW w:w="3964" w:type="dxa"/>
          </w:tcPr>
          <w:p w14:paraId="791E25BF" w14:textId="77777777" w:rsidR="00FB601E" w:rsidRPr="00FB601E" w:rsidRDefault="00FB601E" w:rsidP="00FB601E">
            <w:pPr>
              <w:spacing w:after="160" w:line="259" w:lineRule="auto"/>
              <w:jc w:val="center"/>
              <w:rPr>
                <w:rFonts w:ascii="Century Gothic" w:eastAsia="Calibri" w:hAnsi="Century Gothic" w:cs="Times New Roman"/>
              </w:rPr>
            </w:pPr>
            <w:r w:rsidRPr="00FB601E">
              <w:rPr>
                <w:rFonts w:ascii="Century Gothic" w:eastAsia="Calibri" w:hAnsi="Century Gothic" w:cs="Times New Roman"/>
              </w:rPr>
              <w:t>Il Direttore</w:t>
            </w:r>
          </w:p>
        </w:tc>
        <w:tc>
          <w:tcPr>
            <w:tcW w:w="1843" w:type="dxa"/>
          </w:tcPr>
          <w:p w14:paraId="149B0EB8" w14:textId="77777777" w:rsidR="00FB601E" w:rsidRPr="00FB601E" w:rsidRDefault="00FB601E" w:rsidP="00FB601E">
            <w:pPr>
              <w:spacing w:after="160" w:line="259" w:lineRule="auto"/>
              <w:jc w:val="center"/>
              <w:rPr>
                <w:rFonts w:ascii="Century Gothic" w:eastAsia="Calibri" w:hAnsi="Century Gothic" w:cs="Times New Roman"/>
              </w:rPr>
            </w:pPr>
          </w:p>
        </w:tc>
        <w:tc>
          <w:tcPr>
            <w:tcW w:w="3821" w:type="dxa"/>
          </w:tcPr>
          <w:p w14:paraId="1B9065EA" w14:textId="77777777" w:rsidR="00FB601E" w:rsidRPr="00FB601E" w:rsidRDefault="00FB601E" w:rsidP="00FB601E">
            <w:pPr>
              <w:spacing w:after="160" w:line="259" w:lineRule="auto"/>
              <w:jc w:val="center"/>
              <w:rPr>
                <w:rFonts w:ascii="Century Gothic" w:eastAsia="Calibri" w:hAnsi="Century Gothic" w:cs="Times New Roman"/>
              </w:rPr>
            </w:pPr>
            <w:r w:rsidRPr="00FB601E">
              <w:rPr>
                <w:rFonts w:ascii="Century Gothic" w:eastAsia="Calibri" w:hAnsi="Century Gothic" w:cs="Times New Roman"/>
              </w:rPr>
              <w:t>Il Titolare/Legale rappresentante</w:t>
            </w:r>
          </w:p>
        </w:tc>
      </w:tr>
    </w:tbl>
    <w:p w14:paraId="2CB88543" w14:textId="77777777" w:rsidR="00FB601E" w:rsidRPr="00FB601E" w:rsidRDefault="00FB601E" w:rsidP="00FB601E">
      <w:pPr>
        <w:spacing w:line="259" w:lineRule="auto"/>
        <w:ind w:left="708" w:firstLine="708"/>
        <w:jc w:val="both"/>
        <w:rPr>
          <w:rFonts w:ascii="Century Gothic" w:eastAsia="Calibri" w:hAnsi="Century Gothic" w:cs="Times New Roman"/>
          <w:sz w:val="22"/>
          <w:szCs w:val="22"/>
        </w:rPr>
      </w:pPr>
    </w:p>
    <w:p w14:paraId="1742F69B" w14:textId="77777777" w:rsidR="00D27250" w:rsidRDefault="00D27250" w:rsidP="00D27250">
      <w:pPr>
        <w:widowControl w:val="0"/>
        <w:spacing w:after="60"/>
        <w:ind w:right="-45"/>
        <w:rPr>
          <w:rFonts w:ascii="Calibri" w:eastAsia="Calibri" w:hAnsi="Calibri" w:cs="Times New Roman"/>
          <w:sz w:val="20"/>
          <w:szCs w:val="20"/>
          <w:lang w:val="en-US"/>
        </w:rPr>
      </w:pPr>
    </w:p>
    <w:p w14:paraId="7EFB4DF4" w14:textId="77777777" w:rsidR="00D27250" w:rsidRDefault="00D27250" w:rsidP="00D27250">
      <w:pPr>
        <w:autoSpaceDE w:val="0"/>
        <w:autoSpaceDN w:val="0"/>
        <w:adjustRightInd w:val="0"/>
        <w:jc w:val="center"/>
        <w:rPr>
          <w:rFonts w:ascii="Calibri" w:eastAsiaTheme="minorEastAsia" w:hAnsi="Calibri" w:cs="Calibri"/>
          <w:b/>
          <w:bCs/>
          <w:caps/>
          <w:sz w:val="28"/>
          <w:szCs w:val="28"/>
          <w:lang w:eastAsia="it-IT"/>
        </w:rPr>
      </w:pPr>
    </w:p>
    <w:p w14:paraId="367D09ED" w14:textId="77777777" w:rsidR="009521AF" w:rsidRPr="009521AF" w:rsidRDefault="009521AF" w:rsidP="009521AF">
      <w:bookmarkStart w:id="0" w:name="_Toc416423372"/>
      <w:bookmarkStart w:id="1" w:name="_Toc406754189"/>
      <w:bookmarkStart w:id="2" w:name="_Toc406058388"/>
      <w:bookmarkStart w:id="3" w:name="_Toc403471280"/>
      <w:bookmarkStart w:id="4" w:name="_Toc397422873"/>
      <w:bookmarkStart w:id="5" w:name="_Toc397346832"/>
      <w:bookmarkStart w:id="6" w:name="_Toc393706917"/>
      <w:bookmarkStart w:id="7" w:name="_Toc393700844"/>
      <w:bookmarkStart w:id="8" w:name="_Toc393283185"/>
      <w:bookmarkStart w:id="9" w:name="_Toc393272669"/>
      <w:bookmarkStart w:id="10" w:name="_Toc393272611"/>
      <w:bookmarkStart w:id="11" w:name="_Toc393187855"/>
      <w:bookmarkStart w:id="12" w:name="_Toc393112138"/>
      <w:bookmarkStart w:id="13" w:name="_Toc393110574"/>
      <w:bookmarkStart w:id="14" w:name="_Toc392577507"/>
      <w:bookmarkStart w:id="15" w:name="_Toc391036066"/>
      <w:bookmarkStart w:id="16" w:name="_Toc391035993"/>
      <w:bookmarkStart w:id="17" w:name="_Toc38050188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sectPr w:rsidR="009521AF" w:rsidRPr="009521AF" w:rsidSect="00A0399D">
      <w:headerReference w:type="default" r:id="rId10"/>
      <w:footerReference w:type="default" r:id="rId11"/>
      <w:pgSz w:w="11900" w:h="16840"/>
      <w:pgMar w:top="1985" w:right="701" w:bottom="2127" w:left="1134" w:header="2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CED002" w14:textId="77777777" w:rsidR="00B2131D" w:rsidRDefault="00B2131D" w:rsidP="000151A3">
      <w:r>
        <w:separator/>
      </w:r>
    </w:p>
  </w:endnote>
  <w:endnote w:type="continuationSeparator" w:id="0">
    <w:p w14:paraId="4870F909" w14:textId="77777777" w:rsidR="00B2131D" w:rsidRDefault="00B2131D"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ource Sans Pro">
    <w:altName w:val="Calibri Light"/>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7"/>
      <w:gridCol w:w="3840"/>
      <w:gridCol w:w="2697"/>
    </w:tblGrid>
    <w:tr w:rsidR="00055326" w14:paraId="6BA70875" w14:textId="77777777" w:rsidTr="00B62D9F">
      <w:tc>
        <w:tcPr>
          <w:tcW w:w="3197" w:type="dxa"/>
        </w:tcPr>
        <w:p w14:paraId="1DF801BD" w14:textId="77777777" w:rsidR="00055326" w:rsidRDefault="00055326" w:rsidP="00055326">
          <w:pPr>
            <w:pStyle w:val="Pidipagina"/>
            <w:jc w:val="center"/>
          </w:pPr>
          <w:r w:rsidRPr="00640C00">
            <w:rPr>
              <w:noProof/>
              <w:lang w:val="en-US"/>
            </w:rPr>
            <w:drawing>
              <wp:anchor distT="0" distB="0" distL="114300" distR="114300" simplePos="0" relativeHeight="251659264" behindDoc="1" locked="0" layoutInCell="1" allowOverlap="1" wp14:anchorId="01FC743B" wp14:editId="4D03BB59">
                <wp:simplePos x="0" y="0"/>
                <wp:positionH relativeFrom="page">
                  <wp:posOffset>-72830</wp:posOffset>
                </wp:positionH>
                <wp:positionV relativeFrom="page">
                  <wp:posOffset>-9985</wp:posOffset>
                </wp:positionV>
                <wp:extent cx="1336003" cy="940745"/>
                <wp:effectExtent l="0" t="0" r="0" b="0"/>
                <wp:wrapNone/>
                <wp:docPr id="410678246" name="Immagine 1" descr="Immagine che contiene testo, Carattere,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testo, Carattere, design&#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6003" cy="940745"/>
                        </a:xfrm>
                        <a:prstGeom prst="rect">
                          <a:avLst/>
                        </a:prstGeom>
                        <a:noFill/>
                      </pic:spPr>
                    </pic:pic>
                  </a:graphicData>
                </a:graphic>
                <wp14:sizeRelH relativeFrom="page">
                  <wp14:pctWidth>0</wp14:pctWidth>
                </wp14:sizeRelH>
                <wp14:sizeRelV relativeFrom="page">
                  <wp14:pctHeight>0</wp14:pctHeight>
                </wp14:sizeRelV>
              </wp:anchor>
            </w:drawing>
          </w:r>
        </w:p>
        <w:p w14:paraId="4E677CE9" w14:textId="77777777" w:rsidR="00055326" w:rsidRPr="00EC4814" w:rsidRDefault="00055326" w:rsidP="00055326">
          <w:pPr>
            <w:pStyle w:val="Pidipagina"/>
            <w:jc w:val="center"/>
          </w:pPr>
          <w:r w:rsidRPr="00EC4814">
            <w:fldChar w:fldCharType="begin"/>
          </w:r>
          <w:r>
            <w:instrText xml:space="preserve"> INCLUDEPICTURE "C:\\Users\\morfeo\\Library\\Group Containers\\UBF8T346G9.ms\\WebArchiveCopyPasteTempFiles\\com.microsoft.Word\\logo.png" \* MERGEFORMAT </w:instrText>
          </w:r>
          <w:r w:rsidRPr="00EC4814">
            <w:fldChar w:fldCharType="end"/>
          </w:r>
        </w:p>
      </w:tc>
      <w:tc>
        <w:tcPr>
          <w:tcW w:w="3840" w:type="dxa"/>
        </w:tcPr>
        <w:p w14:paraId="732FDAE5" w14:textId="77777777" w:rsidR="00055326" w:rsidRDefault="00055326" w:rsidP="00055326">
          <w:pPr>
            <w:ind w:left="-142"/>
            <w:jc w:val="center"/>
            <w:rPr>
              <w:rFonts w:cstheme="minorHAnsi"/>
              <w:b/>
              <w:color w:val="244061"/>
              <w:sz w:val="16"/>
            </w:rPr>
          </w:pPr>
        </w:p>
        <w:p w14:paraId="0DED84BF" w14:textId="77777777" w:rsidR="00055326" w:rsidRPr="00A867B7" w:rsidRDefault="00055326" w:rsidP="00055326">
          <w:pPr>
            <w:ind w:left="-142"/>
            <w:jc w:val="center"/>
            <w:rPr>
              <w:rFonts w:cstheme="minorHAnsi"/>
              <w:b/>
              <w:color w:val="244061"/>
              <w:sz w:val="16"/>
            </w:rPr>
          </w:pPr>
          <w:r w:rsidRPr="00A867B7">
            <w:rPr>
              <w:rFonts w:cstheme="minorHAnsi"/>
              <w:b/>
              <w:color w:val="244061"/>
              <w:sz w:val="16"/>
            </w:rPr>
            <w:t>Consiglio Nazionale delle Ricerche</w:t>
          </w:r>
        </w:p>
        <w:p w14:paraId="6C0A491C" w14:textId="77777777" w:rsidR="00055326" w:rsidRPr="00A867B7" w:rsidRDefault="00055326" w:rsidP="00055326">
          <w:pPr>
            <w:ind w:left="-142"/>
            <w:jc w:val="center"/>
            <w:rPr>
              <w:rFonts w:cstheme="minorHAnsi"/>
              <w:b/>
              <w:color w:val="244061"/>
              <w:sz w:val="16"/>
            </w:rPr>
          </w:pPr>
          <w:r w:rsidRPr="00A867B7">
            <w:rPr>
              <w:rFonts w:cstheme="minorHAnsi"/>
              <w:b/>
              <w:color w:val="244061"/>
              <w:sz w:val="16"/>
            </w:rPr>
            <w:t>Istituto di Nanotecnologia</w:t>
          </w:r>
        </w:p>
        <w:p w14:paraId="61A39A13" w14:textId="77777777" w:rsidR="00055326" w:rsidRPr="00A867B7" w:rsidRDefault="00055326" w:rsidP="00055326">
          <w:pPr>
            <w:ind w:left="-142"/>
            <w:jc w:val="center"/>
            <w:rPr>
              <w:rFonts w:cstheme="minorHAnsi"/>
              <w:b/>
              <w:color w:val="244061"/>
              <w:sz w:val="16"/>
            </w:rPr>
          </w:pPr>
          <w:r w:rsidRPr="00A867B7">
            <w:rPr>
              <w:rFonts w:cstheme="minorHAnsi"/>
              <w:b/>
              <w:color w:val="244061"/>
              <w:sz w:val="16"/>
            </w:rPr>
            <w:t>Via Monteroni, s.n.c.</w:t>
          </w:r>
          <w:r>
            <w:rPr>
              <w:rFonts w:cstheme="minorHAnsi"/>
              <w:b/>
              <w:color w:val="244061"/>
              <w:sz w:val="16"/>
            </w:rPr>
            <w:t>,</w:t>
          </w:r>
          <w:r w:rsidRPr="00A867B7">
            <w:rPr>
              <w:rFonts w:cstheme="minorHAnsi"/>
              <w:b/>
              <w:color w:val="244061"/>
              <w:sz w:val="16"/>
            </w:rPr>
            <w:t xml:space="preserve"> 73100 Lecce</w:t>
          </w:r>
        </w:p>
        <w:p w14:paraId="5C5AC21D" w14:textId="77777777" w:rsidR="00055326" w:rsidRDefault="00055326" w:rsidP="00055326">
          <w:pPr>
            <w:pStyle w:val="Intestazione"/>
            <w:jc w:val="center"/>
            <w:rPr>
              <w:rFonts w:cstheme="minorHAnsi"/>
              <w:color w:val="002F5F"/>
              <w:sz w:val="16"/>
            </w:rPr>
          </w:pPr>
          <w:r w:rsidRPr="00271402">
            <w:rPr>
              <w:rFonts w:cstheme="minorHAnsi"/>
              <w:color w:val="002F5F"/>
              <w:sz w:val="16"/>
            </w:rPr>
            <w:t>Partita IVA IT 02118311006   –   C.F. 80054330586</w:t>
          </w:r>
        </w:p>
        <w:p w14:paraId="20D5AC00" w14:textId="77777777" w:rsidR="00055326" w:rsidRPr="004850E3" w:rsidRDefault="00055326" w:rsidP="00055326">
          <w:pPr>
            <w:pStyle w:val="Intestazione"/>
            <w:jc w:val="center"/>
            <w:rPr>
              <w:lang w:val="fr-FR"/>
            </w:rPr>
          </w:pPr>
          <w:r w:rsidRPr="004850E3">
            <w:rPr>
              <w:rFonts w:cstheme="minorHAnsi"/>
              <w:color w:val="002F5F"/>
              <w:sz w:val="16"/>
              <w:lang w:val="fr-FR"/>
            </w:rPr>
            <w:t xml:space="preserve">PEC: </w:t>
          </w:r>
          <w:r w:rsidR="003C6631">
            <w:fldChar w:fldCharType="begin"/>
          </w:r>
          <w:r w:rsidR="003C6631" w:rsidRPr="003C6631">
            <w:rPr>
              <w:lang w:val="fr-FR"/>
            </w:rPr>
            <w:instrText>HYPERLINK "mailto:protocollo.nanotec@pec.cnr.it"</w:instrText>
          </w:r>
          <w:r w:rsidR="003C6631">
            <w:fldChar w:fldCharType="separate"/>
          </w:r>
          <w:r w:rsidRPr="004850E3">
            <w:rPr>
              <w:rStyle w:val="Collegamentoipertestuale"/>
              <w:rFonts w:cstheme="minorHAnsi"/>
              <w:sz w:val="16"/>
              <w:lang w:val="fr-FR"/>
            </w:rPr>
            <w:t>protocollo.nanotec@pec.cnr.it</w:t>
          </w:r>
          <w:r w:rsidR="003C6631">
            <w:rPr>
              <w:rStyle w:val="Collegamentoipertestuale"/>
              <w:rFonts w:cstheme="minorHAnsi"/>
              <w:sz w:val="16"/>
              <w:lang w:val="fr-FR"/>
            </w:rPr>
            <w:fldChar w:fldCharType="end"/>
          </w:r>
        </w:p>
      </w:tc>
      <w:tc>
        <w:tcPr>
          <w:tcW w:w="2697" w:type="dxa"/>
        </w:tcPr>
        <w:p w14:paraId="40345132" w14:textId="77777777" w:rsidR="00055326" w:rsidRPr="004850E3" w:rsidRDefault="00055326" w:rsidP="00055326">
          <w:pPr>
            <w:pStyle w:val="Pidipagina"/>
            <w:jc w:val="center"/>
            <w:rPr>
              <w:lang w:val="fr-FR"/>
            </w:rPr>
          </w:pPr>
        </w:p>
        <w:p w14:paraId="321BB2CC" w14:textId="77777777" w:rsidR="00055326" w:rsidRPr="00EC4814" w:rsidRDefault="00055326" w:rsidP="00055326">
          <w:pPr>
            <w:pStyle w:val="Pidipagina"/>
            <w:jc w:val="center"/>
          </w:pPr>
          <w:r w:rsidRPr="00EC4814">
            <w:rPr>
              <w:noProof/>
              <w:lang w:val="en-US"/>
            </w:rPr>
            <w:drawing>
              <wp:inline distT="0" distB="0" distL="0" distR="0" wp14:anchorId="23371CDA" wp14:editId="145AA7AC">
                <wp:extent cx="1426394" cy="248400"/>
                <wp:effectExtent l="0" t="0" r="0" b="5715"/>
                <wp:docPr id="1076984783" name="Picture 1912791513" descr="Image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Descriptio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6394" cy="248400"/>
                        </a:xfrm>
                        <a:prstGeom prst="rect">
                          <a:avLst/>
                        </a:prstGeom>
                        <a:noFill/>
                        <a:ln>
                          <a:noFill/>
                        </a:ln>
                      </pic:spPr>
                    </pic:pic>
                  </a:graphicData>
                </a:graphic>
              </wp:inline>
            </w:drawing>
          </w:r>
        </w:p>
      </w:tc>
    </w:tr>
  </w:tbl>
  <w:p w14:paraId="2ED590EB" w14:textId="54FA360A" w:rsidR="006753FA" w:rsidRPr="00055326" w:rsidRDefault="006753FA" w:rsidP="0005532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C6AA46" w14:textId="77777777" w:rsidR="00B2131D" w:rsidRDefault="00B2131D" w:rsidP="000151A3">
      <w:r>
        <w:separator/>
      </w:r>
    </w:p>
  </w:footnote>
  <w:footnote w:type="continuationSeparator" w:id="0">
    <w:p w14:paraId="0D853DEE" w14:textId="77777777" w:rsidR="00B2131D" w:rsidRDefault="00B2131D"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390FE" w14:textId="23AC4E42" w:rsidR="00615898" w:rsidRDefault="00055236" w:rsidP="000151A3">
    <w:pPr>
      <w:pStyle w:val="Intestazione"/>
      <w:tabs>
        <w:tab w:val="clear" w:pos="9638"/>
      </w:tabs>
      <w:ind w:left="-1134" w:right="-1134"/>
      <w:rPr>
        <w:noProof/>
        <w:lang w:eastAsia="it-IT"/>
      </w:rPr>
    </w:pPr>
    <w:r>
      <w:rPr>
        <w:noProof/>
      </w:rPr>
      <w:drawing>
        <wp:inline distT="0" distB="0" distL="0" distR="0" wp14:anchorId="6B90263D" wp14:editId="0E446D43">
          <wp:extent cx="7559040" cy="1049930"/>
          <wp:effectExtent l="0" t="0" r="38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inga CNR2.jpg"/>
                  <pic:cNvPicPr/>
                </pic:nvPicPr>
                <pic:blipFill>
                  <a:blip r:embed="rId1">
                    <a:extLst>
                      <a:ext uri="{28A0092B-C50C-407E-A947-70E740481C1C}">
                        <a14:useLocalDpi xmlns:a14="http://schemas.microsoft.com/office/drawing/2010/main" val="0"/>
                      </a:ext>
                    </a:extLst>
                  </a:blip>
                  <a:stretch>
                    <a:fillRect/>
                  </a:stretch>
                </pic:blipFill>
                <pic:spPr>
                  <a:xfrm>
                    <a:off x="0" y="0"/>
                    <a:ext cx="7574718" cy="1052108"/>
                  </a:xfrm>
                  <a:prstGeom prst="rect">
                    <a:avLst/>
                  </a:prstGeom>
                </pic:spPr>
              </pic:pic>
            </a:graphicData>
          </a:graphic>
        </wp:inline>
      </w:drawing>
    </w:r>
  </w:p>
  <w:p w14:paraId="20DC1B6A" w14:textId="722057DD" w:rsidR="000151A3" w:rsidRDefault="000151A3" w:rsidP="00055236">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A31CAB"/>
    <w:multiLevelType w:val="hybridMultilevel"/>
    <w:tmpl w:val="95041D3E"/>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0C927613"/>
    <w:multiLevelType w:val="hybridMultilevel"/>
    <w:tmpl w:val="F58E07B4"/>
    <w:lvl w:ilvl="0" w:tplc="04100001">
      <w:start w:val="1"/>
      <w:numFmt w:val="bullet"/>
      <w:lvlText w:val=""/>
      <w:lvlJc w:val="left"/>
      <w:pPr>
        <w:ind w:left="1032" w:hanging="360"/>
      </w:pPr>
      <w:rPr>
        <w:rFonts w:ascii="Symbol" w:hAnsi="Symbol" w:hint="default"/>
      </w:rPr>
    </w:lvl>
    <w:lvl w:ilvl="1" w:tplc="04100003">
      <w:start w:val="1"/>
      <w:numFmt w:val="bullet"/>
      <w:lvlText w:val="o"/>
      <w:lvlJc w:val="left"/>
      <w:pPr>
        <w:ind w:left="1752" w:hanging="360"/>
      </w:pPr>
      <w:rPr>
        <w:rFonts w:ascii="Courier New" w:hAnsi="Courier New" w:cs="Courier New" w:hint="default"/>
      </w:rPr>
    </w:lvl>
    <w:lvl w:ilvl="2" w:tplc="04100005">
      <w:start w:val="1"/>
      <w:numFmt w:val="bullet"/>
      <w:lvlText w:val=""/>
      <w:lvlJc w:val="left"/>
      <w:pPr>
        <w:ind w:left="2472" w:hanging="360"/>
      </w:pPr>
      <w:rPr>
        <w:rFonts w:ascii="Wingdings" w:hAnsi="Wingdings" w:hint="default"/>
      </w:rPr>
    </w:lvl>
    <w:lvl w:ilvl="3" w:tplc="04100001">
      <w:start w:val="1"/>
      <w:numFmt w:val="bullet"/>
      <w:lvlText w:val=""/>
      <w:lvlJc w:val="left"/>
      <w:pPr>
        <w:ind w:left="3192" w:hanging="360"/>
      </w:pPr>
      <w:rPr>
        <w:rFonts w:ascii="Symbol" w:hAnsi="Symbol" w:hint="default"/>
      </w:rPr>
    </w:lvl>
    <w:lvl w:ilvl="4" w:tplc="04100003">
      <w:start w:val="1"/>
      <w:numFmt w:val="bullet"/>
      <w:lvlText w:val="o"/>
      <w:lvlJc w:val="left"/>
      <w:pPr>
        <w:ind w:left="3912" w:hanging="360"/>
      </w:pPr>
      <w:rPr>
        <w:rFonts w:ascii="Courier New" w:hAnsi="Courier New" w:cs="Courier New" w:hint="default"/>
      </w:rPr>
    </w:lvl>
    <w:lvl w:ilvl="5" w:tplc="04100005">
      <w:start w:val="1"/>
      <w:numFmt w:val="bullet"/>
      <w:lvlText w:val=""/>
      <w:lvlJc w:val="left"/>
      <w:pPr>
        <w:ind w:left="4632" w:hanging="360"/>
      </w:pPr>
      <w:rPr>
        <w:rFonts w:ascii="Wingdings" w:hAnsi="Wingdings" w:hint="default"/>
      </w:rPr>
    </w:lvl>
    <w:lvl w:ilvl="6" w:tplc="04100001">
      <w:start w:val="1"/>
      <w:numFmt w:val="bullet"/>
      <w:lvlText w:val=""/>
      <w:lvlJc w:val="left"/>
      <w:pPr>
        <w:ind w:left="5352" w:hanging="360"/>
      </w:pPr>
      <w:rPr>
        <w:rFonts w:ascii="Symbol" w:hAnsi="Symbol" w:hint="default"/>
      </w:rPr>
    </w:lvl>
    <w:lvl w:ilvl="7" w:tplc="04100003">
      <w:start w:val="1"/>
      <w:numFmt w:val="bullet"/>
      <w:lvlText w:val="o"/>
      <w:lvlJc w:val="left"/>
      <w:pPr>
        <w:ind w:left="6072" w:hanging="360"/>
      </w:pPr>
      <w:rPr>
        <w:rFonts w:ascii="Courier New" w:hAnsi="Courier New" w:cs="Courier New" w:hint="default"/>
      </w:rPr>
    </w:lvl>
    <w:lvl w:ilvl="8" w:tplc="04100005">
      <w:start w:val="1"/>
      <w:numFmt w:val="bullet"/>
      <w:lvlText w:val=""/>
      <w:lvlJc w:val="left"/>
      <w:pPr>
        <w:ind w:left="6792" w:hanging="360"/>
      </w:pPr>
      <w:rPr>
        <w:rFonts w:ascii="Wingdings" w:hAnsi="Wingdings" w:hint="default"/>
      </w:rPr>
    </w:lvl>
  </w:abstractNum>
  <w:abstractNum w:abstractNumId="2" w15:restartNumberingAfterBreak="0">
    <w:nsid w:val="133A5456"/>
    <w:multiLevelType w:val="hybridMultilevel"/>
    <w:tmpl w:val="696E2A0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13457F68"/>
    <w:multiLevelType w:val="hybridMultilevel"/>
    <w:tmpl w:val="0A966A1A"/>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4" w15:restartNumberingAfterBreak="0">
    <w:nsid w:val="2A1761D5"/>
    <w:multiLevelType w:val="hybridMultilevel"/>
    <w:tmpl w:val="F612D3E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2E8E3793"/>
    <w:multiLevelType w:val="multilevel"/>
    <w:tmpl w:val="BED0E95A"/>
    <w:lvl w:ilvl="0">
      <w:start w:val="1"/>
      <w:numFmt w:val="decimal"/>
      <w:pStyle w:val="Titolo1"/>
      <w:lvlText w:val="%1."/>
      <w:lvlJc w:val="left"/>
      <w:pPr>
        <w:ind w:left="360" w:hanging="360"/>
      </w:pPr>
      <w:rPr>
        <w:color w:val="auto"/>
      </w:rPr>
    </w:lvl>
    <w:lvl w:ilvl="1">
      <w:start w:val="1"/>
      <w:numFmt w:val="decimal"/>
      <w:pStyle w:val="Titolo2"/>
      <w:lvlText w:val="%1.%2."/>
      <w:lvlJc w:val="left"/>
      <w:pPr>
        <w:ind w:left="19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ADC4FD0"/>
    <w:multiLevelType w:val="hybridMultilevel"/>
    <w:tmpl w:val="9E664068"/>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abstractNum w:abstractNumId="7" w15:restartNumberingAfterBreak="0">
    <w:nsid w:val="3ED077DD"/>
    <w:multiLevelType w:val="multilevel"/>
    <w:tmpl w:val="0F94F68E"/>
    <w:lvl w:ilvl="0">
      <w:start w:val="1"/>
      <w:numFmt w:val="decimal"/>
      <w:lvlText w:val="%1."/>
      <w:lvlJc w:val="left"/>
      <w:pPr>
        <w:ind w:left="340" w:hanging="340"/>
      </w:pPr>
      <w:rPr>
        <w:b/>
        <w:color w:val="auto"/>
      </w:rPr>
    </w:lvl>
    <w:lvl w:ilvl="1">
      <w:start w:val="1"/>
      <w:numFmt w:val="none"/>
      <w:lvlText w:val=""/>
      <w:lvlJc w:val="left"/>
      <w:pPr>
        <w:ind w:left="397" w:hanging="43"/>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8" w15:restartNumberingAfterBreak="0">
    <w:nsid w:val="444E1B63"/>
    <w:multiLevelType w:val="hybridMultilevel"/>
    <w:tmpl w:val="D0560900"/>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4DA91ABD"/>
    <w:multiLevelType w:val="hybridMultilevel"/>
    <w:tmpl w:val="F404E76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0" w15:restartNumberingAfterBreak="0">
    <w:nsid w:val="504664B7"/>
    <w:multiLevelType w:val="hybridMultilevel"/>
    <w:tmpl w:val="7362FC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C3F16C1"/>
    <w:multiLevelType w:val="hybridMultilevel"/>
    <w:tmpl w:val="191C9EC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5C7E1D8C"/>
    <w:multiLevelType w:val="hybridMultilevel"/>
    <w:tmpl w:val="59742F04"/>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4" w15:restartNumberingAfterBreak="0">
    <w:nsid w:val="5EFF34B9"/>
    <w:multiLevelType w:val="multilevel"/>
    <w:tmpl w:val="32DEF892"/>
    <w:lvl w:ilvl="0">
      <w:start w:val="1"/>
      <w:numFmt w:val="decimal"/>
      <w:lvlText w:val="%1."/>
      <w:lvlJc w:val="left"/>
      <w:pPr>
        <w:ind w:left="340" w:hanging="340"/>
      </w:pPr>
      <w:rPr>
        <w:b/>
        <w:color w:val="auto"/>
      </w:rPr>
    </w:lvl>
    <w:lvl w:ilvl="1">
      <w:start w:val="1"/>
      <w:numFmt w:val="none"/>
      <w:lvlText w:val=""/>
      <w:lvlJc w:val="left"/>
      <w:pPr>
        <w:ind w:left="340" w:hanging="340"/>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5" w15:restartNumberingAfterBreak="0">
    <w:nsid w:val="64FB32CF"/>
    <w:multiLevelType w:val="hybridMultilevel"/>
    <w:tmpl w:val="F0E2AA4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5C758B0"/>
    <w:multiLevelType w:val="hybridMultilevel"/>
    <w:tmpl w:val="3D88D7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7" w15:restartNumberingAfterBreak="0">
    <w:nsid w:val="6C4B507E"/>
    <w:multiLevelType w:val="hybridMultilevel"/>
    <w:tmpl w:val="93968386"/>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78023C16"/>
    <w:multiLevelType w:val="hybridMultilevel"/>
    <w:tmpl w:val="9FF2A05E"/>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num w:numId="1" w16cid:durableId="540748792">
    <w:abstractNumId w:val="11"/>
  </w:num>
  <w:num w:numId="2" w16cid:durableId="1068769988">
    <w:abstractNumId w:val="5"/>
  </w:num>
  <w:num w:numId="3" w16cid:durableId="16493619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4186228">
    <w:abstractNumId w:val="9"/>
  </w:num>
  <w:num w:numId="5" w16cid:durableId="19017505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3979568">
    <w:abstractNumId w:val="7"/>
  </w:num>
  <w:num w:numId="7" w16cid:durableId="8657983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61691220">
    <w:abstractNumId w:val="2"/>
  </w:num>
  <w:num w:numId="9" w16cid:durableId="8976711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9815627">
    <w:abstractNumId w:val="17"/>
  </w:num>
  <w:num w:numId="11" w16cid:durableId="1215659380">
    <w:abstractNumId w:val="17"/>
  </w:num>
  <w:num w:numId="12" w16cid:durableId="2044287874">
    <w:abstractNumId w:val="8"/>
  </w:num>
  <w:num w:numId="13" w16cid:durableId="1586919062">
    <w:abstractNumId w:val="8"/>
  </w:num>
  <w:num w:numId="14" w16cid:durableId="1698851815">
    <w:abstractNumId w:val="14"/>
  </w:num>
  <w:num w:numId="15" w16cid:durableId="114218707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6564279">
    <w:abstractNumId w:val="4"/>
  </w:num>
  <w:num w:numId="17" w16cid:durableId="461001633">
    <w:abstractNumId w:val="4"/>
  </w:num>
  <w:num w:numId="18" w16cid:durableId="418722675">
    <w:abstractNumId w:val="16"/>
  </w:num>
  <w:num w:numId="19" w16cid:durableId="1846281262">
    <w:abstractNumId w:val="16"/>
  </w:num>
  <w:num w:numId="20" w16cid:durableId="421268287">
    <w:abstractNumId w:val="15"/>
  </w:num>
  <w:num w:numId="21" w16cid:durableId="255405760">
    <w:abstractNumId w:val="15"/>
  </w:num>
  <w:num w:numId="22" w16cid:durableId="705912756">
    <w:abstractNumId w:val="10"/>
  </w:num>
  <w:num w:numId="23" w16cid:durableId="9821238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305551">
    <w:abstractNumId w:val="6"/>
  </w:num>
  <w:num w:numId="25" w16cid:durableId="882836737">
    <w:abstractNumId w:val="6"/>
  </w:num>
  <w:num w:numId="26" w16cid:durableId="1285381755">
    <w:abstractNumId w:val="0"/>
  </w:num>
  <w:num w:numId="27" w16cid:durableId="1542279785">
    <w:abstractNumId w:val="0"/>
  </w:num>
  <w:num w:numId="28" w16cid:durableId="657928551">
    <w:abstractNumId w:val="12"/>
  </w:num>
  <w:num w:numId="29" w16cid:durableId="199028429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856714">
    <w:abstractNumId w:val="18"/>
  </w:num>
  <w:num w:numId="31" w16cid:durableId="1019042669">
    <w:abstractNumId w:val="18"/>
  </w:num>
  <w:num w:numId="32" w16cid:durableId="1713731929">
    <w:abstractNumId w:val="1"/>
  </w:num>
  <w:num w:numId="33" w16cid:durableId="823932732">
    <w:abstractNumId w:val="1"/>
  </w:num>
  <w:num w:numId="34" w16cid:durableId="2026519611">
    <w:abstractNumId w:val="13"/>
  </w:num>
  <w:num w:numId="35" w16cid:durableId="138244259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63984221">
    <w:abstractNumId w:val="3"/>
  </w:num>
  <w:num w:numId="37" w16cid:durableId="15689591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55236"/>
    <w:rsid w:val="00055326"/>
    <w:rsid w:val="000E3B01"/>
    <w:rsid w:val="001B242E"/>
    <w:rsid w:val="001F606A"/>
    <w:rsid w:val="00242812"/>
    <w:rsid w:val="002A5A0F"/>
    <w:rsid w:val="002B5C8B"/>
    <w:rsid w:val="002D6A3C"/>
    <w:rsid w:val="00330D6B"/>
    <w:rsid w:val="00385314"/>
    <w:rsid w:val="003B2268"/>
    <w:rsid w:val="003C6631"/>
    <w:rsid w:val="003E0B94"/>
    <w:rsid w:val="00447A2E"/>
    <w:rsid w:val="00532A54"/>
    <w:rsid w:val="0054457A"/>
    <w:rsid w:val="00615898"/>
    <w:rsid w:val="006561BF"/>
    <w:rsid w:val="00671BB1"/>
    <w:rsid w:val="006730D9"/>
    <w:rsid w:val="006753FA"/>
    <w:rsid w:val="006823CB"/>
    <w:rsid w:val="00694A66"/>
    <w:rsid w:val="008037D9"/>
    <w:rsid w:val="0082489F"/>
    <w:rsid w:val="008A302A"/>
    <w:rsid w:val="008B7A5E"/>
    <w:rsid w:val="008F056D"/>
    <w:rsid w:val="008F64C1"/>
    <w:rsid w:val="009521AF"/>
    <w:rsid w:val="00971004"/>
    <w:rsid w:val="009F2615"/>
    <w:rsid w:val="00A0399D"/>
    <w:rsid w:val="00AA1B90"/>
    <w:rsid w:val="00AC554D"/>
    <w:rsid w:val="00AD26AC"/>
    <w:rsid w:val="00B12926"/>
    <w:rsid w:val="00B2131D"/>
    <w:rsid w:val="00B2793B"/>
    <w:rsid w:val="00BB4869"/>
    <w:rsid w:val="00C73B5C"/>
    <w:rsid w:val="00CC0669"/>
    <w:rsid w:val="00CC7C6F"/>
    <w:rsid w:val="00D27250"/>
    <w:rsid w:val="00DB5F45"/>
    <w:rsid w:val="00E55948"/>
    <w:rsid w:val="00E8655F"/>
    <w:rsid w:val="00EE6D96"/>
    <w:rsid w:val="00F03A93"/>
    <w:rsid w:val="00F11C85"/>
    <w:rsid w:val="00F43137"/>
    <w:rsid w:val="00F87F08"/>
    <w:rsid w:val="00FB2BD9"/>
    <w:rsid w:val="00FB601E"/>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Paragrafoelenco"/>
    <w:next w:val="Normale"/>
    <w:link w:val="Titolo1Carattere"/>
    <w:qFormat/>
    <w:rsid w:val="00D27250"/>
    <w:pPr>
      <w:keepNext/>
      <w:numPr>
        <w:numId w:val="2"/>
      </w:numPr>
      <w:jc w:val="both"/>
      <w:outlineLvl w:val="0"/>
    </w:pPr>
    <w:rPr>
      <w:rFonts w:ascii="Calibri" w:eastAsia="Times New Roman" w:hAnsi="Calibri" w:cs="Times New Roman"/>
      <w:b/>
      <w:bCs/>
      <w:sz w:val="20"/>
      <w:szCs w:val="20"/>
    </w:rPr>
  </w:style>
  <w:style w:type="paragraph" w:styleId="Titolo2">
    <w:name w:val="heading 2"/>
    <w:basedOn w:val="Titolo1"/>
    <w:next w:val="Normale"/>
    <w:link w:val="Titolo2Carattere"/>
    <w:semiHidden/>
    <w:unhideWhenUsed/>
    <w:qFormat/>
    <w:rsid w:val="00D27250"/>
    <w:pPr>
      <w:numPr>
        <w:ilvl w:val="1"/>
      </w:numPr>
      <w:outlineLvl w:val="1"/>
    </w:pPr>
  </w:style>
  <w:style w:type="paragraph" w:styleId="Titolo3">
    <w:name w:val="heading 3"/>
    <w:basedOn w:val="Normale"/>
    <w:next w:val="Normale"/>
    <w:link w:val="Titolo3Carattere"/>
    <w:semiHidden/>
    <w:unhideWhenUsed/>
    <w:qFormat/>
    <w:rsid w:val="00D27250"/>
    <w:pPr>
      <w:ind w:left="567" w:hanging="567"/>
      <w:contextualSpacing/>
      <w:jc w:val="both"/>
      <w:outlineLvl w:val="2"/>
    </w:pPr>
    <w:rPr>
      <w:rFonts w:ascii="Calibri" w:eastAsiaTheme="minorEastAsia" w:hAnsi="Calibri" w:cs="Calibri"/>
      <w:b/>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qFormat/>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qFormat/>
    <w:rsid w:val="000151A3"/>
  </w:style>
  <w:style w:type="paragraph" w:styleId="Paragrafoelenco">
    <w:name w:val="List Paragraph"/>
    <w:aliases w:val="Paragrafo"/>
    <w:basedOn w:val="Normale"/>
    <w:uiPriority w:val="1"/>
    <w:qFormat/>
    <w:rsid w:val="000151A3"/>
    <w:pPr>
      <w:ind w:left="720"/>
      <w:contextualSpacing/>
    </w:pPr>
  </w:style>
  <w:style w:type="paragraph" w:styleId="Testonotaapidipagina">
    <w:name w:val="footnote text"/>
    <w:basedOn w:val="Normale"/>
    <w:link w:val="TestonotaapidipaginaCarattere"/>
    <w:uiPriority w:val="99"/>
    <w:semiHidden/>
    <w:unhideWhenUsed/>
    <w:rsid w:val="006823CB"/>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qFormat/>
    <w:rsid w:val="006823CB"/>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6823CB"/>
    <w:rPr>
      <w:vertAlign w:val="superscript"/>
    </w:rPr>
  </w:style>
  <w:style w:type="table" w:styleId="Grigliatabella">
    <w:name w:val="Table Grid"/>
    <w:basedOn w:val="Tabellanormale"/>
    <w:rsid w:val="006823CB"/>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D27250"/>
    <w:rPr>
      <w:rFonts w:ascii="Calibri" w:eastAsia="Times New Roman" w:hAnsi="Calibri" w:cs="Times New Roman"/>
      <w:b/>
      <w:bCs/>
      <w:sz w:val="20"/>
      <w:szCs w:val="20"/>
    </w:rPr>
  </w:style>
  <w:style w:type="character" w:customStyle="1" w:styleId="Titolo2Carattere">
    <w:name w:val="Titolo 2 Carattere"/>
    <w:basedOn w:val="Carpredefinitoparagrafo"/>
    <w:link w:val="Titolo2"/>
    <w:semiHidden/>
    <w:qFormat/>
    <w:rsid w:val="00D27250"/>
    <w:rPr>
      <w:rFonts w:ascii="Calibri" w:eastAsia="Times New Roman" w:hAnsi="Calibri" w:cs="Times New Roman"/>
      <w:b/>
      <w:bCs/>
      <w:sz w:val="20"/>
      <w:szCs w:val="20"/>
    </w:rPr>
  </w:style>
  <w:style w:type="character" w:customStyle="1" w:styleId="Titolo3Carattere">
    <w:name w:val="Titolo 3 Carattere"/>
    <w:basedOn w:val="Carpredefinitoparagrafo"/>
    <w:link w:val="Titolo3"/>
    <w:semiHidden/>
    <w:qFormat/>
    <w:rsid w:val="00D27250"/>
    <w:rPr>
      <w:rFonts w:ascii="Calibri" w:eastAsiaTheme="minorEastAsia" w:hAnsi="Calibri" w:cs="Calibri"/>
      <w:b/>
      <w:sz w:val="20"/>
      <w:szCs w:val="20"/>
      <w:lang w:eastAsia="it-IT"/>
    </w:rPr>
  </w:style>
  <w:style w:type="character" w:styleId="Collegamentoipertestuale">
    <w:name w:val="Hyperlink"/>
    <w:basedOn w:val="Carpredefinitoparagrafo"/>
    <w:uiPriority w:val="99"/>
    <w:semiHidden/>
    <w:unhideWhenUsed/>
    <w:rsid w:val="00D27250"/>
    <w:rPr>
      <w:color w:val="0563C1" w:themeColor="hyperlink"/>
      <w:u w:val="single"/>
    </w:rPr>
  </w:style>
  <w:style w:type="character" w:styleId="Collegamentovisitato">
    <w:name w:val="FollowedHyperlink"/>
    <w:basedOn w:val="Carpredefinitoparagrafo"/>
    <w:uiPriority w:val="99"/>
    <w:semiHidden/>
    <w:unhideWhenUsed/>
    <w:rsid w:val="00D27250"/>
    <w:rPr>
      <w:color w:val="954F72" w:themeColor="followedHyperlink"/>
      <w:u w:val="single"/>
    </w:rPr>
  </w:style>
  <w:style w:type="paragraph" w:customStyle="1" w:styleId="msonormal0">
    <w:name w:val="msonormal"/>
    <w:basedOn w:val="Normale"/>
    <w:uiPriority w:val="99"/>
    <w:semiHidden/>
    <w:rsid w:val="00D27250"/>
    <w:pPr>
      <w:spacing w:before="100" w:beforeAutospacing="1" w:after="100" w:afterAutospacing="1"/>
    </w:pPr>
    <w:rPr>
      <w:rFonts w:ascii="Times New Roman" w:eastAsia="Times New Roman" w:hAnsi="Times New Roman" w:cs="Times New Roman"/>
      <w:lang w:eastAsia="it-IT"/>
    </w:rPr>
  </w:style>
  <w:style w:type="paragraph" w:styleId="NormaleWeb">
    <w:name w:val="Normal (Web)"/>
    <w:basedOn w:val="Normale"/>
    <w:uiPriority w:val="99"/>
    <w:semiHidden/>
    <w:unhideWhenUsed/>
    <w:rsid w:val="00D27250"/>
    <w:pPr>
      <w:spacing w:before="100" w:beforeAutospacing="1" w:after="100" w:afterAutospacing="1"/>
    </w:pPr>
    <w:rPr>
      <w:rFonts w:ascii="Times New Roman" w:eastAsia="Times New Roman" w:hAnsi="Times New Roman" w:cs="Times New Roman"/>
      <w:lang w:eastAsia="it-IT"/>
    </w:rPr>
  </w:style>
  <w:style w:type="paragraph" w:styleId="Sommario1">
    <w:name w:val="toc 1"/>
    <w:basedOn w:val="Normale"/>
    <w:next w:val="Normale"/>
    <w:autoRedefine/>
    <w:uiPriority w:val="39"/>
    <w:semiHidden/>
    <w:unhideWhenUsed/>
    <w:rsid w:val="00D27250"/>
    <w:pPr>
      <w:widowControl w:val="0"/>
      <w:tabs>
        <w:tab w:val="left" w:pos="480"/>
        <w:tab w:val="right" w:leader="dot" w:pos="10055"/>
      </w:tabs>
      <w:spacing w:after="60"/>
    </w:pPr>
    <w:rPr>
      <w:smallCaps/>
      <w:sz w:val="18"/>
      <w:szCs w:val="22"/>
      <w:lang w:val="en-US"/>
    </w:rPr>
  </w:style>
  <w:style w:type="paragraph" w:styleId="Sommario2">
    <w:name w:val="toc 2"/>
    <w:basedOn w:val="Normale"/>
    <w:next w:val="Normale"/>
    <w:autoRedefine/>
    <w:uiPriority w:val="39"/>
    <w:semiHidden/>
    <w:unhideWhenUsed/>
    <w:rsid w:val="00D27250"/>
    <w:pPr>
      <w:tabs>
        <w:tab w:val="left" w:pos="880"/>
        <w:tab w:val="right" w:leader="dot" w:pos="10055"/>
      </w:tabs>
      <w:spacing w:after="60"/>
      <w:ind w:left="238"/>
    </w:pPr>
    <w:rPr>
      <w:smallCaps/>
      <w:sz w:val="18"/>
    </w:rPr>
  </w:style>
  <w:style w:type="paragraph" w:styleId="Sommario3">
    <w:name w:val="toc 3"/>
    <w:basedOn w:val="Normale"/>
    <w:next w:val="Normale"/>
    <w:autoRedefine/>
    <w:uiPriority w:val="39"/>
    <w:semiHidden/>
    <w:unhideWhenUsed/>
    <w:rsid w:val="00D27250"/>
    <w:pPr>
      <w:spacing w:after="100"/>
      <w:ind w:left="480"/>
    </w:pPr>
  </w:style>
  <w:style w:type="paragraph" w:styleId="Testocommento">
    <w:name w:val="annotation text"/>
    <w:basedOn w:val="Normale"/>
    <w:link w:val="TestocommentoCarattere"/>
    <w:uiPriority w:val="99"/>
    <w:semiHidden/>
    <w:unhideWhenUsed/>
    <w:rsid w:val="00D27250"/>
    <w:rPr>
      <w:sz w:val="20"/>
      <w:szCs w:val="20"/>
    </w:rPr>
  </w:style>
  <w:style w:type="character" w:customStyle="1" w:styleId="TestocommentoCarattere">
    <w:name w:val="Testo commento Carattere"/>
    <w:basedOn w:val="Carpredefinitoparagrafo"/>
    <w:link w:val="Testocommento"/>
    <w:uiPriority w:val="99"/>
    <w:semiHidden/>
    <w:rsid w:val="00D27250"/>
    <w:rPr>
      <w:sz w:val="20"/>
      <w:szCs w:val="20"/>
    </w:rPr>
  </w:style>
  <w:style w:type="paragraph" w:styleId="Corpotesto">
    <w:name w:val="Body Text"/>
    <w:basedOn w:val="Normale"/>
    <w:link w:val="CorpotestoCarattere"/>
    <w:uiPriority w:val="99"/>
    <w:semiHidden/>
    <w:unhideWhenUsed/>
    <w:rsid w:val="00D27250"/>
    <w:pPr>
      <w:suppressAutoHyphens/>
      <w:spacing w:after="120"/>
    </w:pPr>
    <w:rPr>
      <w:rFonts w:ascii="Arial" w:eastAsia="Times New Roman" w:hAnsi="Arial" w:cs="Times New Roman"/>
      <w:lang w:eastAsia="ar-SA"/>
    </w:rPr>
  </w:style>
  <w:style w:type="character" w:customStyle="1" w:styleId="CorpotestoCarattere">
    <w:name w:val="Corpo testo Carattere"/>
    <w:basedOn w:val="Carpredefinitoparagrafo"/>
    <w:link w:val="Corpotesto"/>
    <w:uiPriority w:val="99"/>
    <w:semiHidden/>
    <w:rsid w:val="00D27250"/>
    <w:rPr>
      <w:rFonts w:ascii="Arial" w:eastAsia="Times New Roman" w:hAnsi="Arial" w:cs="Times New Roman"/>
      <w:lang w:eastAsia="ar-SA"/>
    </w:rPr>
  </w:style>
  <w:style w:type="paragraph" w:styleId="Soggettocommento">
    <w:name w:val="annotation subject"/>
    <w:basedOn w:val="Testocommento"/>
    <w:next w:val="Testocommento"/>
    <w:link w:val="SoggettocommentoCarattere"/>
    <w:uiPriority w:val="99"/>
    <w:semiHidden/>
    <w:unhideWhenUsed/>
    <w:rsid w:val="00D27250"/>
    <w:rPr>
      <w:b/>
      <w:bCs/>
    </w:rPr>
  </w:style>
  <w:style w:type="character" w:customStyle="1" w:styleId="SoggettocommentoCarattere">
    <w:name w:val="Soggetto commento Carattere"/>
    <w:basedOn w:val="TestocommentoCarattere"/>
    <w:link w:val="Soggettocommento"/>
    <w:uiPriority w:val="99"/>
    <w:semiHidden/>
    <w:rsid w:val="00D27250"/>
    <w:rPr>
      <w:b/>
      <w:bCs/>
      <w:sz w:val="20"/>
      <w:szCs w:val="20"/>
    </w:rPr>
  </w:style>
  <w:style w:type="paragraph" w:styleId="Testofumetto">
    <w:name w:val="Balloon Text"/>
    <w:basedOn w:val="Normale"/>
    <w:link w:val="TestofumettoCarattere"/>
    <w:uiPriority w:val="99"/>
    <w:semiHidden/>
    <w:unhideWhenUsed/>
    <w:rsid w:val="00D2725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27250"/>
    <w:rPr>
      <w:rFonts w:ascii="Segoe UI" w:hAnsi="Segoe UI" w:cs="Segoe UI"/>
      <w:sz w:val="18"/>
      <w:szCs w:val="18"/>
    </w:rPr>
  </w:style>
  <w:style w:type="paragraph" w:styleId="Revisione">
    <w:name w:val="Revision"/>
    <w:uiPriority w:val="99"/>
    <w:semiHidden/>
    <w:rsid w:val="00D27250"/>
  </w:style>
  <w:style w:type="paragraph" w:customStyle="1" w:styleId="Default">
    <w:name w:val="Default"/>
    <w:uiPriority w:val="99"/>
    <w:semiHidden/>
    <w:rsid w:val="00D27250"/>
    <w:pPr>
      <w:autoSpaceDE w:val="0"/>
      <w:autoSpaceDN w:val="0"/>
      <w:adjustRightInd w:val="0"/>
    </w:pPr>
    <w:rPr>
      <w:rFonts w:ascii="Calibri" w:hAnsi="Calibri" w:cs="Calibri"/>
      <w:color w:val="000000"/>
    </w:rPr>
  </w:style>
  <w:style w:type="paragraph" w:customStyle="1" w:styleId="usoboll1">
    <w:name w:val="usoboll1"/>
    <w:basedOn w:val="Normale"/>
    <w:uiPriority w:val="99"/>
    <w:semiHidden/>
    <w:rsid w:val="00D27250"/>
    <w:pPr>
      <w:widowControl w:val="0"/>
      <w:spacing w:line="482" w:lineRule="exact"/>
      <w:jc w:val="both"/>
    </w:pPr>
    <w:rPr>
      <w:rFonts w:ascii="Times New Roman" w:eastAsia="Times New Roman" w:hAnsi="Times New Roman" w:cs="Times New Roman"/>
      <w:szCs w:val="20"/>
      <w:lang w:eastAsia="it-IT"/>
    </w:rPr>
  </w:style>
  <w:style w:type="paragraph" w:customStyle="1" w:styleId="TableParagraph">
    <w:name w:val="Table Paragraph"/>
    <w:basedOn w:val="Normale"/>
    <w:uiPriority w:val="1"/>
    <w:semiHidden/>
    <w:qFormat/>
    <w:rsid w:val="00D27250"/>
    <w:pPr>
      <w:widowControl w:val="0"/>
      <w:autoSpaceDE w:val="0"/>
      <w:autoSpaceDN w:val="0"/>
    </w:pPr>
    <w:rPr>
      <w:rFonts w:ascii="Calibri" w:eastAsia="Calibri" w:hAnsi="Calibri" w:cs="Calibri"/>
      <w:sz w:val="22"/>
      <w:szCs w:val="22"/>
      <w:lang w:val="en-US"/>
    </w:rPr>
  </w:style>
  <w:style w:type="character" w:styleId="Rimandocommento">
    <w:name w:val="annotation reference"/>
    <w:basedOn w:val="Carpredefinitoparagrafo"/>
    <w:uiPriority w:val="99"/>
    <w:semiHidden/>
    <w:unhideWhenUsed/>
    <w:rsid w:val="00D27250"/>
    <w:rPr>
      <w:sz w:val="16"/>
      <w:szCs w:val="16"/>
    </w:rPr>
  </w:style>
  <w:style w:type="character" w:customStyle="1" w:styleId="normaltextrun">
    <w:name w:val="normaltextrun"/>
    <w:basedOn w:val="Carpredefinitoparagrafo"/>
    <w:rsid w:val="00D27250"/>
  </w:style>
  <w:style w:type="character" w:customStyle="1" w:styleId="eop">
    <w:name w:val="eop"/>
    <w:basedOn w:val="Carpredefinitoparagrafo"/>
    <w:rsid w:val="00D27250"/>
  </w:style>
  <w:style w:type="table" w:customStyle="1" w:styleId="TableNormal1">
    <w:name w:val="Table Normal1"/>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table" w:customStyle="1" w:styleId="Grigliatabella11">
    <w:name w:val="Griglia tabella11"/>
    <w:basedOn w:val="Tabellanormale"/>
    <w:uiPriority w:val="39"/>
    <w:rsid w:val="00D27250"/>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table" w:customStyle="1" w:styleId="Grigliatabella1">
    <w:name w:val="Griglia tabella1"/>
    <w:basedOn w:val="Tabellanormale"/>
    <w:next w:val="Grigliatabella"/>
    <w:uiPriority w:val="39"/>
    <w:rsid w:val="00FB601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20498264">
      <w:bodyDiv w:val="1"/>
      <w:marLeft w:val="0"/>
      <w:marRight w:val="0"/>
      <w:marTop w:val="0"/>
      <w:marBottom w:val="0"/>
      <w:divBdr>
        <w:top w:val="none" w:sz="0" w:space="0" w:color="auto"/>
        <w:left w:val="none" w:sz="0" w:space="0" w:color="auto"/>
        <w:bottom w:val="none" w:sz="0" w:space="0" w:color="auto"/>
        <w:right w:val="none" w:sz="0" w:space="0" w:color="auto"/>
      </w:divBdr>
    </w:div>
    <w:div w:id="82597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2.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2140</Words>
  <Characters>12202</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MARIA DELLUZIO</cp:lastModifiedBy>
  <cp:revision>6</cp:revision>
  <dcterms:created xsi:type="dcterms:W3CDTF">2024-06-05T09:30:00Z</dcterms:created>
  <dcterms:modified xsi:type="dcterms:W3CDTF">2024-07-17T15:55:00Z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