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17E35" w14:textId="77777777" w:rsidR="006018B6" w:rsidRDefault="006018B6" w:rsidP="00E23E1F">
      <w:pPr>
        <w:pStyle w:val="Default"/>
        <w:jc w:val="both"/>
        <w:rPr>
          <w:rFonts w:eastAsia="Calibri"/>
          <w:b/>
          <w:color w:val="auto"/>
          <w:sz w:val="28"/>
          <w:szCs w:val="28"/>
          <w:lang w:eastAsia="it-IT"/>
        </w:rPr>
      </w:pPr>
    </w:p>
    <w:p w14:paraId="492093B6" w14:textId="74B4FA41" w:rsidR="00E23E1F" w:rsidRPr="006018B6" w:rsidRDefault="00E23E1F" w:rsidP="00E23E1F">
      <w:pPr>
        <w:pStyle w:val="Default"/>
        <w:jc w:val="both"/>
        <w:rPr>
          <w:rFonts w:eastAsia="Calibri"/>
          <w:b/>
          <w:color w:val="auto"/>
          <w:sz w:val="28"/>
          <w:szCs w:val="28"/>
          <w:lang w:eastAsia="it-IT"/>
        </w:rPr>
      </w:pPr>
      <w:r w:rsidRPr="006018B6">
        <w:rPr>
          <w:rFonts w:eastAsia="Calibri"/>
          <w:b/>
          <w:color w:val="auto"/>
          <w:sz w:val="28"/>
          <w:szCs w:val="28"/>
          <w:lang w:eastAsia="it-IT"/>
        </w:rPr>
        <w:t>BANDO N.  400. 3 CA PNRR</w:t>
      </w:r>
    </w:p>
    <w:p w14:paraId="01CF99FE" w14:textId="77777777" w:rsidR="00E23E1F" w:rsidRPr="006018B6" w:rsidRDefault="00E23E1F" w:rsidP="00E23E1F">
      <w:pPr>
        <w:pStyle w:val="Default"/>
        <w:jc w:val="both"/>
        <w:rPr>
          <w:rFonts w:eastAsia="Calibri"/>
          <w:color w:val="auto"/>
          <w:sz w:val="28"/>
          <w:szCs w:val="28"/>
          <w:lang w:eastAsia="it-IT"/>
        </w:rPr>
      </w:pPr>
    </w:p>
    <w:p w14:paraId="145355D4" w14:textId="77777777" w:rsidR="00E23E1F" w:rsidRPr="006018B6" w:rsidRDefault="00E23E1F" w:rsidP="00E23E1F">
      <w:pPr>
        <w:pStyle w:val="Default"/>
        <w:jc w:val="both"/>
        <w:rPr>
          <w:rFonts w:eastAsia="Calibri"/>
          <w:color w:val="auto"/>
          <w:sz w:val="28"/>
          <w:szCs w:val="28"/>
          <w:lang w:eastAsia="it-IT"/>
        </w:rPr>
      </w:pPr>
    </w:p>
    <w:p w14:paraId="5C107477" w14:textId="148394FE" w:rsidR="00E23E1F" w:rsidRPr="006018B6" w:rsidRDefault="00E23E1F" w:rsidP="00E23E1F">
      <w:pPr>
        <w:jc w:val="both"/>
        <w:rPr>
          <w:sz w:val="28"/>
          <w:szCs w:val="28"/>
        </w:rPr>
      </w:pPr>
      <w:r w:rsidRPr="006018B6">
        <w:rPr>
          <w:b/>
          <w:sz w:val="28"/>
          <w:szCs w:val="28"/>
        </w:rPr>
        <w:t>OGGETTO</w:t>
      </w:r>
      <w:r w:rsidRPr="006018B6">
        <w:rPr>
          <w:sz w:val="28"/>
          <w:szCs w:val="28"/>
        </w:rPr>
        <w:t>:</w:t>
      </w:r>
      <w:r w:rsidR="006018B6">
        <w:rPr>
          <w:sz w:val="28"/>
          <w:szCs w:val="28"/>
        </w:rPr>
        <w:t xml:space="preserve"> </w:t>
      </w:r>
      <w:r w:rsidRPr="006018B6">
        <w:rPr>
          <w:sz w:val="28"/>
          <w:szCs w:val="28"/>
        </w:rPr>
        <w:t xml:space="preserve">Selezione per titoli e colloquio ai sensi dell'art. 10 del "Disciplinare concernente le assunzioni di personale con contratto di lavoro a tempo determinato", per l'assunzione, ai sensi dell'art. 141 del CCNL del Comparto “Istruzione e Ricerca” 2019-2021, sottoscritto in data 18 gennaio 2024, di 1 unità di personale a tempo determinato con contratto di lavoro della durata di un anno, eventualmente prorogabile, con profilo professionale di Collaboratore di amministrazione - VII livello, da assegnare all’Istituto di Ricerca per la Protezione Idrogeologica (IRPI), sede secondaria di Torino (TO), nell’ambito del Progetto PNRR Ecosistema dell’Innovazione “Tech4You - Technologies for </w:t>
      </w:r>
      <w:proofErr w:type="spellStart"/>
      <w:r w:rsidRPr="006018B6">
        <w:rPr>
          <w:sz w:val="28"/>
          <w:szCs w:val="28"/>
        </w:rPr>
        <w:t>climate</w:t>
      </w:r>
      <w:proofErr w:type="spellEnd"/>
      <w:r w:rsidRPr="006018B6">
        <w:rPr>
          <w:sz w:val="28"/>
          <w:szCs w:val="28"/>
        </w:rPr>
        <w:t xml:space="preserve"> change </w:t>
      </w:r>
      <w:proofErr w:type="spellStart"/>
      <w:r w:rsidRPr="006018B6">
        <w:rPr>
          <w:sz w:val="28"/>
          <w:szCs w:val="28"/>
        </w:rPr>
        <w:t>adaptation</w:t>
      </w:r>
      <w:proofErr w:type="spellEnd"/>
      <w:r w:rsidRPr="006018B6">
        <w:rPr>
          <w:sz w:val="28"/>
          <w:szCs w:val="28"/>
        </w:rPr>
        <w:t xml:space="preserve"> and </w:t>
      </w:r>
      <w:proofErr w:type="spellStart"/>
      <w:r w:rsidRPr="006018B6">
        <w:rPr>
          <w:sz w:val="28"/>
          <w:szCs w:val="28"/>
        </w:rPr>
        <w:t>quality</w:t>
      </w:r>
      <w:proofErr w:type="spellEnd"/>
      <w:r w:rsidRPr="006018B6">
        <w:rPr>
          <w:sz w:val="28"/>
          <w:szCs w:val="28"/>
        </w:rPr>
        <w:t xml:space="preserve"> of life improvement”, ambito di intervento “5 .</w:t>
      </w:r>
      <w:proofErr w:type="spellStart"/>
      <w:r w:rsidRPr="006018B6">
        <w:rPr>
          <w:sz w:val="28"/>
          <w:szCs w:val="28"/>
        </w:rPr>
        <w:t>Climate</w:t>
      </w:r>
      <w:proofErr w:type="spellEnd"/>
      <w:r w:rsidRPr="006018B6">
        <w:rPr>
          <w:sz w:val="28"/>
          <w:szCs w:val="28"/>
        </w:rPr>
        <w:t xml:space="preserve">, Energy and </w:t>
      </w:r>
      <w:proofErr w:type="spellStart"/>
      <w:r w:rsidRPr="006018B6">
        <w:rPr>
          <w:sz w:val="28"/>
          <w:szCs w:val="28"/>
        </w:rPr>
        <w:t>Sustainable</w:t>
      </w:r>
      <w:proofErr w:type="spellEnd"/>
      <w:r w:rsidRPr="006018B6">
        <w:rPr>
          <w:sz w:val="28"/>
          <w:szCs w:val="28"/>
        </w:rPr>
        <w:t xml:space="preserve"> </w:t>
      </w:r>
      <w:proofErr w:type="spellStart"/>
      <w:r w:rsidRPr="006018B6">
        <w:rPr>
          <w:sz w:val="28"/>
          <w:szCs w:val="28"/>
        </w:rPr>
        <w:t>Mobility</w:t>
      </w:r>
      <w:proofErr w:type="spellEnd"/>
      <w:r w:rsidRPr="006018B6">
        <w:rPr>
          <w:sz w:val="28"/>
          <w:szCs w:val="28"/>
        </w:rPr>
        <w:t>”. MISSIONE 4 COMPONENTE 2, “Dalla ricerca all’impresa” INVESTIMENTO 1.5 - CUP B83C22003980006</w:t>
      </w:r>
    </w:p>
    <w:p w14:paraId="023637BE" w14:textId="7505307D" w:rsidR="00E23E1F" w:rsidRPr="006018B6" w:rsidRDefault="00E23E1F" w:rsidP="008A660F">
      <w:pPr>
        <w:rPr>
          <w:sz w:val="28"/>
          <w:szCs w:val="28"/>
        </w:rPr>
      </w:pPr>
    </w:p>
    <w:p w14:paraId="63221BA7" w14:textId="586C01EC" w:rsidR="00E23E1F" w:rsidRPr="006018B6" w:rsidRDefault="00E23E1F" w:rsidP="00E23E1F">
      <w:pPr>
        <w:jc w:val="center"/>
        <w:rPr>
          <w:sz w:val="28"/>
          <w:szCs w:val="28"/>
        </w:rPr>
      </w:pPr>
      <w:r w:rsidRPr="006018B6">
        <w:rPr>
          <w:sz w:val="28"/>
          <w:szCs w:val="28"/>
        </w:rPr>
        <w:t>Colloquio relativo alla selezione in oggetto in modalità telematica</w:t>
      </w:r>
    </w:p>
    <w:p w14:paraId="61DF26FB" w14:textId="20B0FC6D" w:rsidR="00E23E1F" w:rsidRPr="006018B6" w:rsidRDefault="00E23E1F" w:rsidP="00E23E1F">
      <w:pPr>
        <w:jc w:val="center"/>
        <w:rPr>
          <w:sz w:val="28"/>
          <w:szCs w:val="28"/>
        </w:rPr>
      </w:pPr>
      <w:r w:rsidRPr="006018B6">
        <w:rPr>
          <w:sz w:val="28"/>
          <w:szCs w:val="28"/>
        </w:rPr>
        <w:t xml:space="preserve">il giorno martedì 10 </w:t>
      </w:r>
      <w:r w:rsidR="00C9521B">
        <w:rPr>
          <w:sz w:val="28"/>
          <w:szCs w:val="28"/>
        </w:rPr>
        <w:t>settembre</w:t>
      </w:r>
      <w:r w:rsidRPr="006018B6">
        <w:rPr>
          <w:sz w:val="28"/>
          <w:szCs w:val="28"/>
        </w:rPr>
        <w:t xml:space="preserve"> 2024 </w:t>
      </w:r>
      <w:r w:rsidR="008D62A1">
        <w:rPr>
          <w:sz w:val="28"/>
          <w:szCs w:val="28"/>
        </w:rPr>
        <w:t>d</w:t>
      </w:r>
      <w:r w:rsidRPr="006018B6">
        <w:rPr>
          <w:sz w:val="28"/>
          <w:szCs w:val="28"/>
        </w:rPr>
        <w:t>alle ore</w:t>
      </w:r>
      <w:r w:rsidR="008D62A1">
        <w:rPr>
          <w:sz w:val="28"/>
          <w:szCs w:val="28"/>
        </w:rPr>
        <w:t xml:space="preserve"> 13</w:t>
      </w:r>
      <w:r w:rsidR="00DE1243">
        <w:rPr>
          <w:sz w:val="28"/>
          <w:szCs w:val="28"/>
        </w:rPr>
        <w:t>:00</w:t>
      </w:r>
    </w:p>
    <w:p w14:paraId="78E256B1" w14:textId="1E24BF1C" w:rsidR="00E23E1F" w:rsidRPr="006018B6" w:rsidRDefault="00E23E1F" w:rsidP="00E23E1F">
      <w:pPr>
        <w:jc w:val="center"/>
        <w:rPr>
          <w:sz w:val="28"/>
          <w:szCs w:val="28"/>
        </w:rPr>
      </w:pPr>
    </w:p>
    <w:p w14:paraId="02C463ED" w14:textId="433A2AE7" w:rsidR="00E23E1F" w:rsidRPr="006018B6" w:rsidRDefault="00E23E1F" w:rsidP="00E23E1F">
      <w:pPr>
        <w:jc w:val="center"/>
        <w:rPr>
          <w:sz w:val="28"/>
          <w:szCs w:val="28"/>
        </w:rPr>
      </w:pPr>
    </w:p>
    <w:p w14:paraId="1B377F83" w14:textId="7F09127D" w:rsidR="00E23E1F" w:rsidRDefault="00E23E1F" w:rsidP="006018B6">
      <w:pPr>
        <w:jc w:val="both"/>
        <w:rPr>
          <w:sz w:val="28"/>
          <w:szCs w:val="28"/>
        </w:rPr>
      </w:pPr>
      <w:r w:rsidRPr="006018B6">
        <w:rPr>
          <w:sz w:val="28"/>
          <w:szCs w:val="28"/>
        </w:rPr>
        <w:t xml:space="preserve">Verrà predisposto il collegamento da remoto con la Commissione Esaminatrice della procedura selettiva in oggetto per permettere ai candidati che lo hanno </w:t>
      </w:r>
      <w:r w:rsidRPr="00E9638D">
        <w:rPr>
          <w:sz w:val="28"/>
          <w:szCs w:val="28"/>
        </w:rPr>
        <w:t>richiesto</w:t>
      </w:r>
      <w:r w:rsidR="002E27DE" w:rsidRPr="002E27DE">
        <w:rPr>
          <w:b/>
          <w:sz w:val="28"/>
          <w:szCs w:val="28"/>
        </w:rPr>
        <w:t xml:space="preserve"> entro il giorno lunedì 02 </w:t>
      </w:r>
      <w:r w:rsidR="00E9638D">
        <w:rPr>
          <w:b/>
          <w:sz w:val="28"/>
          <w:szCs w:val="28"/>
        </w:rPr>
        <w:t>settembre</w:t>
      </w:r>
      <w:r w:rsidR="002E27DE" w:rsidRPr="002E27DE">
        <w:rPr>
          <w:b/>
          <w:sz w:val="28"/>
          <w:szCs w:val="28"/>
        </w:rPr>
        <w:t xml:space="preserve"> 202</w:t>
      </w:r>
      <w:r w:rsidR="002E27DE">
        <w:rPr>
          <w:b/>
          <w:sz w:val="28"/>
          <w:szCs w:val="28"/>
        </w:rPr>
        <w:t>4</w:t>
      </w:r>
      <w:r w:rsidRPr="006018B6">
        <w:rPr>
          <w:sz w:val="28"/>
          <w:szCs w:val="28"/>
        </w:rPr>
        <w:t xml:space="preserve"> di sostenere il colloquio in tale modalità.</w:t>
      </w:r>
    </w:p>
    <w:p w14:paraId="1A174038" w14:textId="77777777" w:rsidR="00537220" w:rsidRPr="006018B6" w:rsidRDefault="00537220" w:rsidP="006018B6">
      <w:pPr>
        <w:jc w:val="both"/>
        <w:rPr>
          <w:sz w:val="28"/>
          <w:szCs w:val="28"/>
        </w:rPr>
      </w:pPr>
    </w:p>
    <w:p w14:paraId="55480928" w14:textId="7363F9E5" w:rsidR="006018B6" w:rsidRPr="006018B6" w:rsidRDefault="006018B6" w:rsidP="006018B6">
      <w:pPr>
        <w:jc w:val="both"/>
        <w:rPr>
          <w:sz w:val="28"/>
          <w:szCs w:val="28"/>
        </w:rPr>
      </w:pPr>
      <w:r w:rsidRPr="006018B6">
        <w:rPr>
          <w:sz w:val="28"/>
          <w:szCs w:val="28"/>
        </w:rPr>
        <w:t xml:space="preserve">A tal fine si precisa che ogni candidato dovrà individuare un luogo adatto, sufficientemente luminoso e non rumoroso, per permettere alla Commissione di vederlo bene in volto e per rendere la comunicazione comprensibile per tutta la durata della prova. Si potranno utilizzare cuffie con microfono o direttamente l’audio del pc. Nel giorno e nell’ora indicati i candidati dovranno collegarsi da computer </w:t>
      </w:r>
      <w:r w:rsidRPr="00E9638D">
        <w:rPr>
          <w:sz w:val="28"/>
          <w:szCs w:val="28"/>
        </w:rPr>
        <w:t>(o, in alternativa, anche da tablet o smartphone</w:t>
      </w:r>
      <w:r w:rsidRPr="006018B6">
        <w:rPr>
          <w:sz w:val="28"/>
          <w:szCs w:val="28"/>
        </w:rPr>
        <w:t xml:space="preserve">, purché dotati di adeguata velocità di connessione e sicurezza della continuità di collegamento), confermando la partecipazione alla riunione di </w:t>
      </w:r>
      <w:r w:rsidRPr="00D17695">
        <w:rPr>
          <w:sz w:val="28"/>
          <w:szCs w:val="28"/>
        </w:rPr>
        <w:t>Microsoft Teams</w:t>
      </w:r>
      <w:r w:rsidRPr="006018B6">
        <w:rPr>
          <w:sz w:val="28"/>
          <w:szCs w:val="28"/>
        </w:rPr>
        <w:t xml:space="preserve"> per la quale avranno ricevuto, con congruo anticipo, l'invito all'indirizzo di posta elettronica comunicato nella domanda di partecipazione. Nella fase iniziale del colloquio ognuno dei candidati dovrà </w:t>
      </w:r>
      <w:r w:rsidRPr="006018B6">
        <w:rPr>
          <w:sz w:val="28"/>
          <w:szCs w:val="28"/>
        </w:rPr>
        <w:lastRenderedPageBreak/>
        <w:t>mostrare alla telecamera un documento di identità in corso di validità. La Commissione procederà, quindi, alla verifica dell’indirizzo di Posta Elettronica Certificata (PEC)</w:t>
      </w:r>
      <w:r w:rsidR="00E9638D">
        <w:rPr>
          <w:sz w:val="28"/>
          <w:szCs w:val="28"/>
        </w:rPr>
        <w:t xml:space="preserve"> o in alternativa via mail non certificata</w:t>
      </w:r>
      <w:r w:rsidRPr="006018B6">
        <w:rPr>
          <w:sz w:val="28"/>
          <w:szCs w:val="28"/>
        </w:rPr>
        <w:t xml:space="preserve"> dei candidati connessi in modalità telematica: durante la prova verrà effettuata in simultanea una verifica di invio e ricezione di un messaggio</w:t>
      </w:r>
      <w:r w:rsidRPr="00E9638D">
        <w:rPr>
          <w:sz w:val="28"/>
          <w:szCs w:val="28"/>
        </w:rPr>
        <w:t>. Ove si riscontri che l’indirizzo PEC</w:t>
      </w:r>
      <w:r w:rsidR="00E9638D" w:rsidRPr="00E9638D">
        <w:rPr>
          <w:sz w:val="28"/>
          <w:szCs w:val="28"/>
        </w:rPr>
        <w:t>/mail ordinaria</w:t>
      </w:r>
      <w:r w:rsidRPr="00E9638D">
        <w:rPr>
          <w:sz w:val="28"/>
          <w:szCs w:val="28"/>
        </w:rPr>
        <w:t xml:space="preserve"> fornito non è </w:t>
      </w:r>
      <w:r w:rsidR="00E9638D">
        <w:rPr>
          <w:sz w:val="28"/>
          <w:szCs w:val="28"/>
        </w:rPr>
        <w:t>validato da</w:t>
      </w:r>
      <w:r w:rsidRPr="00E9638D">
        <w:rPr>
          <w:sz w:val="28"/>
          <w:szCs w:val="28"/>
        </w:rPr>
        <w:t>l candidato al momento della prova, ovvero non è funzionante, lo stesso verrà immediatamente escluso dalla procedura. Al fine di garantire la trasparenza, l’equità della prova e la non dispari</w:t>
      </w:r>
      <w:r w:rsidRPr="006018B6">
        <w:rPr>
          <w:sz w:val="28"/>
          <w:szCs w:val="28"/>
        </w:rPr>
        <w:t xml:space="preserve">tà di trattamento, i candidati connessi in modalità telematica potranno rimanere collegati ed assistere virtualmente ai colloqui degli altri convocati. </w:t>
      </w:r>
      <w:r w:rsidR="00E9638D">
        <w:rPr>
          <w:sz w:val="28"/>
          <w:szCs w:val="28"/>
        </w:rPr>
        <w:t>Il collegamento verrà interrotto/inibito al termine di ogni colloquio per consentire alla commissione di riunirsi per la valutazione.</w:t>
      </w:r>
    </w:p>
    <w:p w14:paraId="1BF1EC40" w14:textId="77777777" w:rsidR="006018B6" w:rsidRPr="006018B6" w:rsidRDefault="006018B6" w:rsidP="006018B6">
      <w:pPr>
        <w:jc w:val="both"/>
        <w:rPr>
          <w:sz w:val="28"/>
          <w:szCs w:val="28"/>
        </w:rPr>
      </w:pPr>
    </w:p>
    <w:p w14:paraId="596C0888" w14:textId="0C243808" w:rsidR="006018B6" w:rsidRPr="00E9638D" w:rsidRDefault="006018B6" w:rsidP="006018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638D">
        <w:rPr>
          <w:b/>
          <w:sz w:val="28"/>
          <w:szCs w:val="28"/>
          <w:u w:val="single"/>
        </w:rPr>
        <w:t>I candidati che non saranno presenti a sostenere il colloquio nel giorno e nell’ora indicati saranno dichiarati rinunciatari all’Avviso, qualunque sia la causa dell’assenza, anche se non dipende dalla volontà dei singoli candidati</w:t>
      </w:r>
    </w:p>
    <w:p w14:paraId="43B31AD5" w14:textId="35D8EDB6" w:rsidR="00E23E1F" w:rsidRDefault="00E23E1F" w:rsidP="006018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43D9A" w14:textId="2F5C18A9" w:rsidR="00375694" w:rsidRDefault="00375694" w:rsidP="006018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ACB74" w14:textId="7C51B8DB" w:rsidR="00375694" w:rsidRPr="00375694" w:rsidRDefault="00375694" w:rsidP="00662B3A">
      <w:pPr>
        <w:ind w:right="679"/>
        <w:jc w:val="right"/>
        <w:rPr>
          <w:i/>
          <w:sz w:val="28"/>
          <w:szCs w:val="28"/>
        </w:rPr>
      </w:pPr>
      <w:bookmarkStart w:id="0" w:name="_GoBack"/>
      <w:r w:rsidRPr="00375694">
        <w:rPr>
          <w:i/>
          <w:sz w:val="28"/>
          <w:szCs w:val="28"/>
        </w:rPr>
        <w:t xml:space="preserve">La </w:t>
      </w:r>
      <w:r w:rsidR="00D91CDB">
        <w:rPr>
          <w:i/>
          <w:sz w:val="28"/>
          <w:szCs w:val="28"/>
        </w:rPr>
        <w:t>C</w:t>
      </w:r>
      <w:r w:rsidRPr="00375694">
        <w:rPr>
          <w:i/>
          <w:sz w:val="28"/>
          <w:szCs w:val="28"/>
        </w:rPr>
        <w:t xml:space="preserve">ommissione </w:t>
      </w:r>
      <w:r w:rsidR="00D91CDB">
        <w:rPr>
          <w:i/>
          <w:sz w:val="28"/>
          <w:szCs w:val="28"/>
        </w:rPr>
        <w:t>E</w:t>
      </w:r>
      <w:r w:rsidRPr="00375694">
        <w:rPr>
          <w:i/>
          <w:sz w:val="28"/>
          <w:szCs w:val="28"/>
        </w:rPr>
        <w:t>saminatrice</w:t>
      </w:r>
      <w:bookmarkEnd w:id="0"/>
    </w:p>
    <w:p w14:paraId="684866ED" w14:textId="77777777" w:rsidR="00E23E1F" w:rsidRPr="00375694" w:rsidRDefault="00E23E1F" w:rsidP="00662B3A">
      <w:pPr>
        <w:jc w:val="both"/>
        <w:rPr>
          <w:sz w:val="28"/>
          <w:szCs w:val="28"/>
        </w:rPr>
      </w:pPr>
    </w:p>
    <w:sectPr w:rsidR="00E23E1F" w:rsidRPr="00375694" w:rsidSect="006A795A">
      <w:headerReference w:type="default" r:id="rId9"/>
      <w:footerReference w:type="default" r:id="rId10"/>
      <w:pgSz w:w="11900" w:h="16840" w:code="9"/>
      <w:pgMar w:top="720" w:right="720" w:bottom="720" w:left="720" w:header="284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EDAB" w14:textId="77777777" w:rsidR="00AA4B28" w:rsidRDefault="00AA4B28">
      <w:r>
        <w:separator/>
      </w:r>
    </w:p>
  </w:endnote>
  <w:endnote w:type="continuationSeparator" w:id="0">
    <w:p w14:paraId="58386C6C" w14:textId="77777777" w:rsidR="00AA4B28" w:rsidRDefault="00AA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7EA7" w14:textId="0AA99394" w:rsidR="00084BF5" w:rsidRDefault="00C9521B">
    <w:pPr>
      <w:rPr>
        <w:b/>
        <w:i/>
        <w:color w:val="4472C4"/>
        <w:sz w:val="17"/>
        <w:szCs w:val="17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26AE3F" wp14:editId="605A3234">
          <wp:simplePos x="0" y="0"/>
          <wp:positionH relativeFrom="column">
            <wp:posOffset>-122555</wp:posOffset>
          </wp:positionH>
          <wp:positionV relativeFrom="paragraph">
            <wp:posOffset>257810</wp:posOffset>
          </wp:positionV>
          <wp:extent cx="1295400" cy="873125"/>
          <wp:effectExtent l="0" t="0" r="0" b="0"/>
          <wp:wrapNone/>
          <wp:docPr id="792741714" name="image1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0536" w:type="dxa"/>
      <w:tblInd w:w="0" w:type="dxa"/>
      <w:tblLayout w:type="fixed"/>
      <w:tblLook w:val="0000" w:firstRow="0" w:lastRow="0" w:firstColumn="0" w:lastColumn="0" w:noHBand="0" w:noVBand="0"/>
    </w:tblPr>
    <w:tblGrid>
      <w:gridCol w:w="1316"/>
      <w:gridCol w:w="7245"/>
      <w:gridCol w:w="1975"/>
    </w:tblGrid>
    <w:tr w:rsidR="00084BF5" w14:paraId="3C87F425" w14:textId="77777777">
      <w:trPr>
        <w:trHeight w:val="1560"/>
      </w:trPr>
      <w:tc>
        <w:tcPr>
          <w:tcW w:w="1316" w:type="dxa"/>
          <w:vAlign w:val="center"/>
        </w:tcPr>
        <w:p w14:paraId="069A9042" w14:textId="7F92EAF5" w:rsidR="00084BF5" w:rsidRDefault="00084BF5">
          <w:pPr>
            <w:jc w:val="center"/>
            <w:rPr>
              <w:rFonts w:ascii="Arial" w:eastAsia="Arial" w:hAnsi="Arial" w:cs="Arial"/>
              <w:i/>
            </w:rPr>
          </w:pPr>
        </w:p>
      </w:tc>
      <w:tc>
        <w:tcPr>
          <w:tcW w:w="7245" w:type="dxa"/>
          <w:vAlign w:val="center"/>
        </w:tcPr>
        <w:p w14:paraId="729CE14E" w14:textId="23FF0D2F" w:rsidR="00084BF5" w:rsidRDefault="00276322">
          <w:pPr>
            <w:keepLines/>
            <w:widowControl w:val="0"/>
            <w:tabs>
              <w:tab w:val="left" w:pos="708"/>
            </w:tabs>
            <w:spacing w:before="40"/>
            <w:jc w:val="center"/>
            <w:rPr>
              <w:color w:val="4D4D4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ECA28F8" wp14:editId="7C9269E9">
                <wp:simplePos x="0" y="0"/>
                <wp:positionH relativeFrom="column">
                  <wp:posOffset>4550410</wp:posOffset>
                </wp:positionH>
                <wp:positionV relativeFrom="paragraph">
                  <wp:posOffset>177165</wp:posOffset>
                </wp:positionV>
                <wp:extent cx="1069975" cy="619125"/>
                <wp:effectExtent l="0" t="0" r="0" b="0"/>
                <wp:wrapNone/>
                <wp:docPr id="792741713" name="image2.png" descr="Logo-IRPI-Rettangolo-NoNa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-IRPI-Rettangolo-NoNam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975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77C696C" w14:textId="77777777" w:rsidR="00084BF5" w:rsidRDefault="00276322">
          <w:pPr>
            <w:keepLines/>
            <w:widowControl w:val="0"/>
            <w:tabs>
              <w:tab w:val="left" w:pos="708"/>
            </w:tabs>
            <w:spacing w:before="40"/>
            <w:jc w:val="center"/>
            <w:rPr>
              <w:color w:val="4D4D4D"/>
              <w:sz w:val="26"/>
              <w:szCs w:val="26"/>
            </w:rPr>
          </w:pPr>
          <w:r>
            <w:rPr>
              <w:color w:val="4D4D4D"/>
              <w:sz w:val="26"/>
              <w:szCs w:val="26"/>
            </w:rPr>
            <w:t xml:space="preserve">       Consiglio Nazionale delle Ricerche</w:t>
          </w:r>
        </w:p>
        <w:p w14:paraId="4AE4FFEB" w14:textId="77777777" w:rsidR="00084BF5" w:rsidRDefault="00276322">
          <w:pPr>
            <w:widowControl w:val="0"/>
            <w:jc w:val="center"/>
            <w:rPr>
              <w:rFonts w:ascii="Tahoma" w:eastAsia="Tahoma" w:hAnsi="Tahoma" w:cs="Tahoma"/>
              <w:b/>
              <w:i/>
              <w:smallCaps/>
              <w:color w:val="333333"/>
            </w:rPr>
          </w:pPr>
          <w:r>
            <w:rPr>
              <w:rFonts w:ascii="Arial" w:eastAsia="Arial" w:hAnsi="Arial" w:cs="Arial"/>
              <w:b/>
              <w:smallCaps/>
              <w:color w:val="4D4D4D"/>
              <w:sz w:val="26"/>
              <w:szCs w:val="26"/>
            </w:rPr>
            <w:t xml:space="preserve">         Istituto di Ricerca per la Protezione Idrogeologica</w:t>
          </w:r>
        </w:p>
      </w:tc>
      <w:tc>
        <w:tcPr>
          <w:tcW w:w="1975" w:type="dxa"/>
          <w:vAlign w:val="center"/>
        </w:tcPr>
        <w:p w14:paraId="4E3AB03D" w14:textId="77777777" w:rsidR="00084BF5" w:rsidRDefault="00084BF5">
          <w:pPr>
            <w:keepLines/>
            <w:widowControl w:val="0"/>
            <w:tabs>
              <w:tab w:val="left" w:pos="708"/>
            </w:tabs>
            <w:spacing w:before="40"/>
            <w:rPr>
              <w:i/>
              <w:color w:val="4D4D4D"/>
            </w:rPr>
          </w:pPr>
        </w:p>
      </w:tc>
    </w:tr>
  </w:tbl>
  <w:p w14:paraId="46ADFD11" w14:textId="77777777" w:rsidR="00084BF5" w:rsidRDefault="00084BF5">
    <w:pPr>
      <w:rPr>
        <w:b/>
        <w:i/>
        <w:color w:val="4472C4"/>
        <w:sz w:val="17"/>
        <w:szCs w:val="17"/>
      </w:rPr>
    </w:pPr>
  </w:p>
  <w:p w14:paraId="1BD255E9" w14:textId="77777777" w:rsidR="00084BF5" w:rsidRDefault="002763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969"/>
        <w:tab w:val="right" w:pos="9214"/>
      </w:tabs>
      <w:ind w:left="1276" w:right="-7"/>
      <w:rPr>
        <w:b/>
        <w:i/>
        <w:color w:val="4472C4"/>
        <w:sz w:val="17"/>
        <w:szCs w:val="17"/>
      </w:rPr>
    </w:pPr>
    <w:r>
      <w:rPr>
        <w:b/>
        <w:i/>
        <w:color w:val="4472C4"/>
        <w:sz w:val="17"/>
        <w:szCs w:val="17"/>
      </w:rPr>
      <w:t xml:space="preserve">  </w:t>
    </w:r>
  </w:p>
  <w:p w14:paraId="6F369239" w14:textId="77777777" w:rsidR="00084BF5" w:rsidRDefault="00084B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969"/>
        <w:tab w:val="right" w:pos="9214"/>
      </w:tabs>
      <w:ind w:left="1985" w:right="-7"/>
      <w:jc w:val="center"/>
      <w:rPr>
        <w:b/>
        <w:i/>
        <w:color w:val="4472C4"/>
        <w:sz w:val="17"/>
        <w:szCs w:val="17"/>
      </w:rPr>
    </w:pPr>
  </w:p>
  <w:p w14:paraId="1B9498F5" w14:textId="77777777" w:rsidR="00084BF5" w:rsidRDefault="002763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969"/>
        <w:tab w:val="right" w:pos="9214"/>
      </w:tabs>
      <w:ind w:left="1985" w:right="-7"/>
      <w:jc w:val="right"/>
      <w:rPr>
        <w:color w:val="000000"/>
      </w:rPr>
    </w:pPr>
    <w:r>
      <w:rPr>
        <w:b/>
        <w:i/>
        <w:color w:val="4472C4"/>
        <w:sz w:val="17"/>
        <w:szCs w:val="17"/>
      </w:rPr>
      <w:t xml:space="preserve">                                                  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41D0">
      <w:rPr>
        <w:noProof/>
        <w:color w:val="000000"/>
      </w:rPr>
      <w:t>1</w:t>
    </w:r>
    <w:r>
      <w:rPr>
        <w:color w:val="000000"/>
      </w:rPr>
      <w:fldChar w:fldCharType="end"/>
    </w:r>
  </w:p>
  <w:p w14:paraId="2EBCB969" w14:textId="77777777" w:rsidR="00084BF5" w:rsidRDefault="00084B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72A5" w14:textId="77777777" w:rsidR="00AA4B28" w:rsidRDefault="00AA4B28">
      <w:r>
        <w:separator/>
      </w:r>
    </w:p>
  </w:footnote>
  <w:footnote w:type="continuationSeparator" w:id="0">
    <w:p w14:paraId="2C872EE1" w14:textId="77777777" w:rsidR="00AA4B28" w:rsidRDefault="00AA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A7F2" w14:textId="77777777" w:rsidR="00084BF5" w:rsidRDefault="00276322" w:rsidP="006A79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 w:right="-1134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F655E0D" wp14:editId="2ED5E108">
          <wp:extent cx="7681913" cy="1002789"/>
          <wp:effectExtent l="0" t="0" r="0" b="0"/>
          <wp:docPr id="7927417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1913" cy="1002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8EA503" w14:textId="77777777" w:rsidR="00084BF5" w:rsidRDefault="00276322">
    <w:pPr>
      <w:spacing w:before="60" w:after="60" w:line="183" w:lineRule="auto"/>
      <w:ind w:right="11"/>
      <w:jc w:val="center"/>
      <w:rPr>
        <w:b/>
        <w:i/>
        <w:color w:val="4472C4"/>
        <w:sz w:val="17"/>
        <w:szCs w:val="17"/>
      </w:rPr>
    </w:pPr>
    <w:bookmarkStart w:id="1" w:name="_heading=h.30j0zll" w:colFirst="0" w:colLast="0"/>
    <w:bookmarkEnd w:id="1"/>
    <w:r>
      <w:rPr>
        <w:b/>
        <w:i/>
        <w:color w:val="4472C4"/>
        <w:sz w:val="17"/>
        <w:szCs w:val="17"/>
      </w:rPr>
      <w:t>PIANO NAZIONALE DI RIPRESA E RESILIENZA (PNRR) MISSIONE 4, COMPONENTE 2, INVESTIMENTO 1.5,</w:t>
    </w:r>
    <w:r>
      <w:rPr>
        <w:rFonts w:ascii="Cambria" w:eastAsia="Cambria" w:hAnsi="Cambria" w:cs="Cambria"/>
        <w:b/>
        <w:sz w:val="22"/>
        <w:szCs w:val="22"/>
      </w:rPr>
      <w:t xml:space="preserve"> </w:t>
    </w:r>
    <w:proofErr w:type="spellStart"/>
    <w:r>
      <w:rPr>
        <w:b/>
        <w:i/>
        <w:color w:val="4472C4"/>
        <w:sz w:val="17"/>
        <w:szCs w:val="17"/>
      </w:rPr>
      <w:t>NextGenerationEU</w:t>
    </w:r>
    <w:proofErr w:type="spellEnd"/>
  </w:p>
  <w:p w14:paraId="235D437A" w14:textId="77777777" w:rsidR="00084BF5" w:rsidRDefault="00276322">
    <w:pPr>
      <w:spacing w:before="60" w:after="60" w:line="183" w:lineRule="auto"/>
      <w:jc w:val="center"/>
      <w:rPr>
        <w:b/>
        <w:i/>
        <w:color w:val="4472C4"/>
        <w:sz w:val="17"/>
        <w:szCs w:val="17"/>
      </w:rPr>
    </w:pPr>
    <w:r>
      <w:rPr>
        <w:b/>
        <w:i/>
        <w:color w:val="4472C4"/>
        <w:sz w:val="17"/>
        <w:szCs w:val="17"/>
      </w:rPr>
      <w:t>Avviso Pubblico MUR n. 3277 del 30 dicembre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E01C4F"/>
    <w:multiLevelType w:val="hybridMultilevel"/>
    <w:tmpl w:val="8794D0EE"/>
    <w:lvl w:ilvl="0" w:tplc="EEE6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F33"/>
    <w:multiLevelType w:val="hybridMultilevel"/>
    <w:tmpl w:val="4DBA7220"/>
    <w:lvl w:ilvl="0" w:tplc="5AD87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F2EC7"/>
    <w:multiLevelType w:val="hybridMultilevel"/>
    <w:tmpl w:val="65FAC7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5F9"/>
    <w:multiLevelType w:val="hybridMultilevel"/>
    <w:tmpl w:val="EE7CAD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63BA9"/>
    <w:multiLevelType w:val="hybridMultilevel"/>
    <w:tmpl w:val="0DE209F8"/>
    <w:lvl w:ilvl="0" w:tplc="0410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74B46F14"/>
    <w:multiLevelType w:val="hybridMultilevel"/>
    <w:tmpl w:val="F662D9CA"/>
    <w:lvl w:ilvl="0" w:tplc="B2EA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F5"/>
    <w:rsid w:val="000068D9"/>
    <w:rsid w:val="00057929"/>
    <w:rsid w:val="00084BF5"/>
    <w:rsid w:val="00112E04"/>
    <w:rsid w:val="00147DFB"/>
    <w:rsid w:val="00156800"/>
    <w:rsid w:val="001D3B73"/>
    <w:rsid w:val="00241E9F"/>
    <w:rsid w:val="00276322"/>
    <w:rsid w:val="002E27DE"/>
    <w:rsid w:val="00375694"/>
    <w:rsid w:val="00382FE1"/>
    <w:rsid w:val="003F62DE"/>
    <w:rsid w:val="00417F37"/>
    <w:rsid w:val="00537220"/>
    <w:rsid w:val="00547A3F"/>
    <w:rsid w:val="005E7A23"/>
    <w:rsid w:val="006018B6"/>
    <w:rsid w:val="006176C7"/>
    <w:rsid w:val="006541D0"/>
    <w:rsid w:val="00657B21"/>
    <w:rsid w:val="00662B3A"/>
    <w:rsid w:val="006A795A"/>
    <w:rsid w:val="006D7BBD"/>
    <w:rsid w:val="00700FD8"/>
    <w:rsid w:val="00705D35"/>
    <w:rsid w:val="007F523A"/>
    <w:rsid w:val="0081684B"/>
    <w:rsid w:val="008964E2"/>
    <w:rsid w:val="008A0472"/>
    <w:rsid w:val="008A660F"/>
    <w:rsid w:val="008C1B6E"/>
    <w:rsid w:val="008D62A1"/>
    <w:rsid w:val="008F7539"/>
    <w:rsid w:val="00941DFC"/>
    <w:rsid w:val="009A1E40"/>
    <w:rsid w:val="009C0010"/>
    <w:rsid w:val="00AA4B28"/>
    <w:rsid w:val="00AC1CDB"/>
    <w:rsid w:val="00B2588C"/>
    <w:rsid w:val="00B64FCB"/>
    <w:rsid w:val="00C9521B"/>
    <w:rsid w:val="00CC6D90"/>
    <w:rsid w:val="00CF12AE"/>
    <w:rsid w:val="00D17695"/>
    <w:rsid w:val="00D91CDB"/>
    <w:rsid w:val="00DE1243"/>
    <w:rsid w:val="00E23E1F"/>
    <w:rsid w:val="00E87637"/>
    <w:rsid w:val="00E9638D"/>
    <w:rsid w:val="00EB3910"/>
    <w:rsid w:val="00EB486A"/>
    <w:rsid w:val="00ED5086"/>
    <w:rsid w:val="00F546E1"/>
    <w:rsid w:val="00F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C44B"/>
  <w15:docId w15:val="{CC0DDC18-D456-4445-8FE6-39B79A30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12A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12AE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12AE"/>
    <w:rPr>
      <w:vertAlign w:val="superscript"/>
    </w:rPr>
  </w:style>
  <w:style w:type="paragraph" w:customStyle="1" w:styleId="Default">
    <w:name w:val="Default"/>
    <w:rsid w:val="00CF12AE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F12A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7BB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4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4E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82FE1"/>
    <w:pPr>
      <w:widowControl w:val="0"/>
      <w:ind w:left="118"/>
    </w:pPr>
    <w:rPr>
      <w:rFonts w:ascii="Times New Roman" w:eastAsia="Times New Roman" w:hAnsi="Times New Roman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FE1"/>
    <w:rPr>
      <w:rFonts w:ascii="Times New Roman" w:eastAsia="Times New Roman" w:hAnsi="Times New Roman" w:cstheme="minorBidi"/>
      <w:lang w:val="en-US" w:eastAsia="en-US"/>
    </w:rPr>
  </w:style>
  <w:style w:type="table" w:styleId="Grigliatabella">
    <w:name w:val="Table Grid"/>
    <w:basedOn w:val="Tabellanormale"/>
    <w:uiPriority w:val="39"/>
    <w:rsid w:val="00382F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rsid w:val="00382FE1"/>
    <w:pPr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82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pQ+wagO0JVCodBRpTeSPhedFQ==">CgMxLjAyCGguZ2pkZ3hzMgloLjMwajB6bGw4AHIhMTFFNzdsQ0ZjOWFKQW5jcE55LXZEMFdtMmkxeDVUUVBI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DBD287-BA28-4AA5-A37C-5441EC81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Boenzi Teresa</cp:lastModifiedBy>
  <cp:revision>6</cp:revision>
  <dcterms:created xsi:type="dcterms:W3CDTF">2024-08-01T09:23:00Z</dcterms:created>
  <dcterms:modified xsi:type="dcterms:W3CDTF">2024-08-01T09:43:00Z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