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7ED4E980" w:rsidR="00811B3C" w:rsidRPr="00CA1DF7" w:rsidRDefault="00F07B93" w:rsidP="00811B3C">
      <w:pPr>
        <w:spacing w:before="0" w:after="0" w:line="240" w:lineRule="auto"/>
        <w:jc w:val="left"/>
        <w:rPr>
          <w:rFonts w:ascii="Calibri" w:hAnsi="Calibri" w:cs="Calibri"/>
          <w:sz w:val="20"/>
          <w:szCs w:val="20"/>
        </w:rPr>
      </w:pPr>
      <w:bookmarkStart w:id="0" w:name="_Hlk112753106"/>
      <w:r w:rsidRPr="00CA1DF7">
        <w:rPr>
          <w:rFonts w:ascii="Calibri" w:hAnsi="Calibri" w:cs="Calibri"/>
          <w:sz w:val="20"/>
          <w:szCs w:val="20"/>
        </w:rPr>
        <w:t>“</w:t>
      </w:r>
      <w:r w:rsidR="007E4103" w:rsidRPr="00CA1DF7">
        <w:rPr>
          <w:rFonts w:ascii="Calibri" w:hAnsi="Calibri" w:cs="Calibri"/>
          <w:sz w:val="20"/>
          <w:szCs w:val="20"/>
        </w:rPr>
        <w:t xml:space="preserve">Dichiarazione </w:t>
      </w:r>
      <w:r w:rsidRPr="00CA1DF7">
        <w:rPr>
          <w:rFonts w:ascii="Calibri" w:hAnsi="Calibri" w:cs="Calibri"/>
          <w:sz w:val="20"/>
          <w:szCs w:val="20"/>
        </w:rPr>
        <w:t>DNSH”</w:t>
      </w:r>
      <w:r w:rsidR="008E3C3B" w:rsidRPr="00CA1DF7">
        <w:rPr>
          <w:rFonts w:ascii="Calibri" w:hAnsi="Calibri" w:cs="Calibri"/>
          <w:sz w:val="20"/>
          <w:szCs w:val="20"/>
        </w:rPr>
        <w:t>- Appendice C”</w:t>
      </w:r>
      <w:r w:rsidR="00CA1DF7" w:rsidRPr="00CA1DF7">
        <w:rPr>
          <w:rStyle w:val="Rimandonotaapidipagina"/>
          <w:rFonts w:ascii="Calibri" w:hAnsi="Calibri" w:cs="Calibri"/>
          <w:sz w:val="20"/>
          <w:szCs w:val="20"/>
          <w:vertAlign w:val="superscript"/>
        </w:rPr>
        <w:footnoteReference w:id="1"/>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5BABFCA" w14:textId="3FC39DA7" w:rsidR="00711CE8" w:rsidRDefault="009256D6" w:rsidP="00811B3C">
      <w:pPr>
        <w:spacing w:before="0" w:after="0" w:line="240" w:lineRule="auto"/>
        <w:contextualSpacing/>
        <w:rPr>
          <w:rFonts w:ascii="Calibri" w:eastAsia="Calibri" w:hAnsi="Calibri" w:cs="Calibri"/>
          <w:caps/>
          <w:sz w:val="20"/>
          <w:szCs w:val="20"/>
        </w:rPr>
      </w:pPr>
      <w:r w:rsidRPr="009256D6">
        <w:rPr>
          <w:rFonts w:ascii="Calibri" w:eastAsia="Calibri" w:hAnsi="Calibri" w:cs="Calibri"/>
          <w:caps/>
          <w:sz w:val="20"/>
          <w:szCs w:val="20"/>
        </w:rPr>
        <w:t>PROCEDURA APERTA, FINALIZZATA ALLA SOTTOSCRIZIONE DI UN ACCORDO QUADRO AI SENSI DELL’ART. 59 DEL D.LGS. 36/2023, PER L’AFFIDAMENTO DELLA FORNITURA DI MATERIALE INFORMATICO, IN PARTE FINANZIATA NELL’AMBITO DEL PIANO NAZIONALE RIPRESA E RESILIENZA (PNRR) E DEL PIANO NAZIONALE PER GLI INVESTIMENTI COMPLEMENTARI (PNC)</w:t>
      </w:r>
    </w:p>
    <w:p w14:paraId="1B20C8A9" w14:textId="5DA719AE" w:rsidR="009256D6" w:rsidRDefault="009256D6" w:rsidP="00811B3C">
      <w:pPr>
        <w:spacing w:before="0" w:after="0" w:line="240" w:lineRule="auto"/>
        <w:contextualSpacing/>
        <w:rPr>
          <w:rFonts w:ascii="Calibri" w:eastAsia="Calibri" w:hAnsi="Calibri" w:cs="Calibri"/>
          <w:caps/>
          <w:sz w:val="20"/>
          <w:szCs w:val="20"/>
        </w:rPr>
      </w:pPr>
      <w:r w:rsidRPr="009256D6">
        <w:rPr>
          <w:rFonts w:ascii="Calibri" w:eastAsia="Calibri" w:hAnsi="Calibri" w:cs="Calibri"/>
          <w:caps/>
          <w:sz w:val="20"/>
          <w:szCs w:val="20"/>
        </w:rPr>
        <w:t xml:space="preserve">MISSIONE 4, “ISTRUZIONE E RICERCA” - COMPONENTE 2, “DALLA RICERCA ALL’IMPRESA” </w:t>
      </w:r>
    </w:p>
    <w:p w14:paraId="24526B67" w14:textId="77777777" w:rsidR="009256D6" w:rsidRPr="009256D6" w:rsidRDefault="009256D6" w:rsidP="009256D6">
      <w:pPr>
        <w:spacing w:before="0" w:after="0" w:line="240" w:lineRule="auto"/>
        <w:contextualSpacing/>
        <w:rPr>
          <w:rFonts w:ascii="Calibri" w:eastAsia="Calibri" w:hAnsi="Calibri" w:cs="Calibri"/>
          <w:caps/>
          <w:sz w:val="20"/>
          <w:szCs w:val="20"/>
        </w:rPr>
      </w:pPr>
      <w:r w:rsidRPr="009256D6">
        <w:rPr>
          <w:rFonts w:ascii="Calibri" w:eastAsia="Calibri" w:hAnsi="Calibri" w:cs="Calibri"/>
          <w:caps/>
          <w:sz w:val="20"/>
          <w:szCs w:val="20"/>
        </w:rPr>
        <w:t>PROGETTO “FIT4MEDRob” - Fit For Medical Robotics - CUP B53C22006960001 (Linea di investimento 1.3 - Fondi del PNC)</w:t>
      </w:r>
    </w:p>
    <w:p w14:paraId="08EF1262" w14:textId="77777777" w:rsidR="009256D6" w:rsidRPr="009256D6" w:rsidRDefault="009256D6" w:rsidP="009256D6">
      <w:pPr>
        <w:spacing w:before="0" w:after="0" w:line="240" w:lineRule="auto"/>
        <w:contextualSpacing/>
        <w:rPr>
          <w:rFonts w:ascii="Calibri" w:eastAsia="Calibri" w:hAnsi="Calibri" w:cs="Calibri"/>
          <w:caps/>
          <w:sz w:val="20"/>
          <w:szCs w:val="20"/>
        </w:rPr>
      </w:pPr>
      <w:r w:rsidRPr="009256D6">
        <w:rPr>
          <w:rFonts w:ascii="Calibri" w:eastAsia="Calibri" w:hAnsi="Calibri" w:cs="Calibri"/>
          <w:caps/>
          <w:sz w:val="20"/>
          <w:szCs w:val="20"/>
        </w:rPr>
        <w:t>PROGETTO “FAIR” - Future Artificial Intelligence Research – CUP B53C22003630006 (Linea di investimento 1.3)</w:t>
      </w:r>
    </w:p>
    <w:p w14:paraId="56A0E369" w14:textId="77777777" w:rsidR="009256D6" w:rsidRPr="009256D6" w:rsidRDefault="009256D6" w:rsidP="009256D6">
      <w:pPr>
        <w:spacing w:before="0" w:after="0" w:line="240" w:lineRule="auto"/>
        <w:contextualSpacing/>
        <w:rPr>
          <w:rFonts w:ascii="Calibri" w:eastAsia="Calibri" w:hAnsi="Calibri" w:cs="Calibri"/>
          <w:caps/>
          <w:sz w:val="20"/>
          <w:szCs w:val="20"/>
        </w:rPr>
      </w:pPr>
      <w:r w:rsidRPr="009256D6">
        <w:rPr>
          <w:rFonts w:ascii="Calibri" w:eastAsia="Calibri" w:hAnsi="Calibri" w:cs="Calibri"/>
          <w:caps/>
          <w:sz w:val="20"/>
          <w:szCs w:val="20"/>
        </w:rPr>
        <w:t>PROGETTO “AGRITECH” - National Research Centre for Agricultural Technologies – CUP B83C22002840001 (Linea di investimento 1.4)</w:t>
      </w:r>
    </w:p>
    <w:p w14:paraId="09C26B68" w14:textId="75411A9E" w:rsidR="009256D6" w:rsidRDefault="009256D6" w:rsidP="009256D6">
      <w:pPr>
        <w:spacing w:before="0" w:after="0" w:line="240" w:lineRule="auto"/>
        <w:contextualSpacing/>
        <w:rPr>
          <w:rFonts w:ascii="Calibri" w:eastAsia="Calibri" w:hAnsi="Calibri" w:cs="Calibri"/>
          <w:caps/>
          <w:sz w:val="20"/>
          <w:szCs w:val="20"/>
        </w:rPr>
      </w:pPr>
      <w:r w:rsidRPr="009256D6">
        <w:rPr>
          <w:rFonts w:ascii="Calibri" w:eastAsia="Calibri" w:hAnsi="Calibri" w:cs="Calibri"/>
          <w:caps/>
          <w:sz w:val="20"/>
          <w:szCs w:val="20"/>
        </w:rPr>
        <w:t>PROGETTO “FOSSR” - Fostering Open Science in Social Science Research CUP B83C22003950001 (Linea di investimento 3.1)</w:t>
      </w:r>
    </w:p>
    <w:p w14:paraId="332C6E39" w14:textId="77777777" w:rsidR="009256D6" w:rsidRPr="00811B3C" w:rsidRDefault="009256D6"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14D14E78" w14:textId="6E87AE23" w:rsidR="00811B3C" w:rsidRDefault="007E4103" w:rsidP="007E4103">
      <w:pPr>
        <w:widowControl w:val="0"/>
        <w:spacing w:before="0" w:after="0" w:line="240" w:lineRule="auto"/>
        <w:rPr>
          <w:rFonts w:ascii="Calibri" w:hAnsi="Calibri" w:cs="Arial"/>
          <w:sz w:val="22"/>
          <w:szCs w:val="22"/>
        </w:rPr>
      </w:pPr>
      <w:r w:rsidRPr="007E4103">
        <w:rPr>
          <w:rFonts w:ascii="Calibri" w:hAnsi="Calibri" w:cs="Arial"/>
          <w:sz w:val="22"/>
          <w:szCs w:val="22"/>
        </w:rPr>
        <w:t>consapevole della responsabilità penale cui può andare incontro in caso di dichiarazione falsa o comunque non corrispondente al vero (art. 76 del D.P.R. n. 445 del 28/12/2000), ai sensi del D.P.R. n. 445 del 28/12/2000 e ss.mm.ii. e in ottemperanza a quanto disposto dall’art. 27 comma 2 del Decreto-Legge 24 febbraio 2023, n. 13 recante “Disposizioni urgenti per l'attuazione del Piano nazionale di ripresa e resilienza (PNRR) e del Piano nazionale degli investimenti complementari al PNRR (PNC), nonché per l'attuazione delle politiche di coesione e della politica agricola comune”</w:t>
      </w:r>
    </w:p>
    <w:p w14:paraId="0FAA45BB" w14:textId="77777777" w:rsidR="003B7738" w:rsidRDefault="003B7738" w:rsidP="007E4103">
      <w:pPr>
        <w:widowControl w:val="0"/>
        <w:spacing w:before="0" w:after="0" w:line="240" w:lineRule="auto"/>
        <w:rPr>
          <w:rFonts w:ascii="Calibri" w:hAnsi="Calibri" w:cs="Arial"/>
          <w:sz w:val="22"/>
          <w:szCs w:val="22"/>
        </w:rPr>
      </w:pPr>
    </w:p>
    <w:p w14:paraId="4862B190" w14:textId="15D1C9DC" w:rsidR="007E4103" w:rsidRDefault="007E4103" w:rsidP="007E4103">
      <w:pPr>
        <w:widowControl w:val="0"/>
        <w:spacing w:before="0" w:after="0" w:line="240" w:lineRule="auto"/>
        <w:jc w:val="center"/>
        <w:rPr>
          <w:rFonts w:ascii="Calibri" w:hAnsi="Calibri" w:cs="Arial"/>
          <w:b/>
          <w:bCs/>
          <w:sz w:val="22"/>
          <w:szCs w:val="22"/>
        </w:rPr>
      </w:pPr>
      <w:r w:rsidRPr="007E4103">
        <w:rPr>
          <w:rFonts w:ascii="Calibri" w:hAnsi="Calibri" w:cs="Arial"/>
          <w:b/>
          <w:bCs/>
          <w:sz w:val="22"/>
          <w:szCs w:val="22"/>
        </w:rPr>
        <w:t>DICHIARA</w:t>
      </w:r>
    </w:p>
    <w:p w14:paraId="7E49E8AD" w14:textId="77777777" w:rsidR="003B7738" w:rsidRDefault="003B7738" w:rsidP="007E4103">
      <w:pPr>
        <w:widowControl w:val="0"/>
        <w:spacing w:before="0" w:after="0" w:line="240" w:lineRule="auto"/>
        <w:jc w:val="center"/>
        <w:rPr>
          <w:rFonts w:ascii="Calibri" w:hAnsi="Calibri" w:cs="Arial"/>
          <w:b/>
          <w:bCs/>
          <w:sz w:val="22"/>
          <w:szCs w:val="22"/>
        </w:rPr>
      </w:pPr>
    </w:p>
    <w:p w14:paraId="40764758" w14:textId="5915B834" w:rsidR="001F5AAA" w:rsidRDefault="009256D6" w:rsidP="001F5AAA">
      <w:pPr>
        <w:widowControl w:val="0"/>
        <w:spacing w:before="0" w:after="0" w:line="240" w:lineRule="auto"/>
        <w:rPr>
          <w:rFonts w:asciiTheme="minorHAnsi" w:hAnsiTheme="minorHAnsi" w:cstheme="minorHAnsi"/>
          <w:sz w:val="22"/>
          <w:szCs w:val="22"/>
        </w:rPr>
      </w:pPr>
      <w:r>
        <w:rPr>
          <w:rFonts w:asciiTheme="minorHAnsi" w:hAnsiTheme="minorHAnsi" w:cstheme="minorHAnsi"/>
          <w:sz w:val="22"/>
          <w:szCs w:val="22"/>
        </w:rPr>
        <w:t xml:space="preserve">Con riferimento agli ordinativi di fornitura che saranno emessi nell’ambito di progetti finanziati con fondi PNRR e PNC, di impegnarsi a offrire prodotti </w:t>
      </w:r>
      <w:r w:rsidR="003B7738" w:rsidRPr="003B7738">
        <w:rPr>
          <w:rFonts w:asciiTheme="minorHAnsi" w:hAnsiTheme="minorHAnsi" w:cstheme="minorHAnsi"/>
          <w:sz w:val="22"/>
          <w:szCs w:val="22"/>
        </w:rPr>
        <w:t>coerent</w:t>
      </w:r>
      <w:r>
        <w:rPr>
          <w:rFonts w:asciiTheme="minorHAnsi" w:hAnsiTheme="minorHAnsi" w:cstheme="minorHAnsi"/>
          <w:sz w:val="22"/>
          <w:szCs w:val="22"/>
        </w:rPr>
        <w:t>i</w:t>
      </w:r>
      <w:r w:rsidR="003B7738" w:rsidRPr="003B7738">
        <w:rPr>
          <w:rFonts w:asciiTheme="minorHAnsi" w:hAnsiTheme="minorHAnsi" w:cstheme="minorHAnsi"/>
          <w:sz w:val="22"/>
          <w:szCs w:val="22"/>
        </w:rPr>
        <w:t xml:space="preserve"> con i principi e gli obblighi per il </w:t>
      </w:r>
      <w:r w:rsidR="00E90711" w:rsidRPr="003B7738">
        <w:rPr>
          <w:rFonts w:asciiTheme="minorHAnsi" w:hAnsiTheme="minorHAnsi" w:cstheme="minorHAnsi"/>
          <w:sz w:val="22"/>
          <w:szCs w:val="22"/>
        </w:rPr>
        <w:t>rispetto del principio DNSH di cui all’art. 17 del Reg. (UE) 2020/852</w:t>
      </w:r>
      <w:bookmarkEnd w:id="0"/>
      <w:r w:rsidR="001F5AAA">
        <w:rPr>
          <w:rFonts w:asciiTheme="minorHAnsi" w:hAnsiTheme="minorHAnsi" w:cstheme="minorHAnsi"/>
          <w:sz w:val="22"/>
          <w:szCs w:val="22"/>
        </w:rPr>
        <w:t xml:space="preserve"> e </w:t>
      </w:r>
      <w:r>
        <w:rPr>
          <w:rFonts w:asciiTheme="minorHAnsi" w:hAnsiTheme="minorHAnsi" w:cstheme="minorHAnsi"/>
          <w:sz w:val="22"/>
          <w:szCs w:val="22"/>
        </w:rPr>
        <w:t xml:space="preserve">di impegnarsi a fare sì </w:t>
      </w:r>
      <w:r w:rsidR="001F5AAA">
        <w:rPr>
          <w:rFonts w:asciiTheme="minorHAnsi" w:hAnsiTheme="minorHAnsi" w:cstheme="minorHAnsi"/>
          <w:sz w:val="22"/>
          <w:szCs w:val="22"/>
        </w:rPr>
        <w:t xml:space="preserve">che </w:t>
      </w:r>
      <w:r w:rsidR="001F5AAA" w:rsidRPr="001F5AAA">
        <w:rPr>
          <w:rFonts w:asciiTheme="minorHAnsi" w:hAnsiTheme="minorHAnsi" w:cstheme="minorHAnsi"/>
          <w:sz w:val="22"/>
          <w:szCs w:val="22"/>
        </w:rPr>
        <w:t xml:space="preserve">le attività economiche </w:t>
      </w:r>
      <w:r w:rsidR="001F5AAA">
        <w:rPr>
          <w:rFonts w:asciiTheme="minorHAnsi" w:hAnsiTheme="minorHAnsi" w:cstheme="minorHAnsi"/>
          <w:sz w:val="22"/>
          <w:szCs w:val="22"/>
        </w:rPr>
        <w:t xml:space="preserve">inerenti </w:t>
      </w:r>
      <w:r>
        <w:rPr>
          <w:rFonts w:asciiTheme="minorHAnsi" w:hAnsiTheme="minorHAnsi" w:cstheme="minorHAnsi"/>
          <w:sz w:val="22"/>
          <w:szCs w:val="22"/>
        </w:rPr>
        <w:t xml:space="preserve">i prodotti offerti </w:t>
      </w:r>
      <w:r w:rsidR="001F5AAA" w:rsidRPr="001F5AAA">
        <w:rPr>
          <w:rFonts w:asciiTheme="minorHAnsi" w:hAnsiTheme="minorHAnsi" w:cstheme="minorHAnsi"/>
          <w:sz w:val="22"/>
          <w:szCs w:val="22"/>
        </w:rPr>
        <w:t>rispett</w:t>
      </w:r>
      <w:r>
        <w:rPr>
          <w:rFonts w:asciiTheme="minorHAnsi" w:hAnsiTheme="minorHAnsi" w:cstheme="minorHAnsi"/>
          <w:sz w:val="22"/>
          <w:szCs w:val="22"/>
        </w:rPr>
        <w:t>i</w:t>
      </w:r>
      <w:r w:rsidR="001F5AAA" w:rsidRPr="001F5AAA">
        <w:rPr>
          <w:rFonts w:asciiTheme="minorHAnsi" w:hAnsiTheme="minorHAnsi" w:cstheme="minorHAnsi"/>
          <w:sz w:val="22"/>
          <w:szCs w:val="22"/>
        </w:rPr>
        <w:t>no il principio DNSH di “</w:t>
      </w:r>
      <w:r w:rsidR="001F5AAA" w:rsidRPr="001F5AAA">
        <w:rPr>
          <w:rFonts w:asciiTheme="minorHAnsi" w:hAnsiTheme="minorHAnsi" w:cstheme="minorHAnsi"/>
          <w:i/>
          <w:iCs/>
          <w:sz w:val="22"/>
          <w:szCs w:val="22"/>
        </w:rPr>
        <w:t>Prevenzione e riduzione dell’inquinamento</w:t>
      </w:r>
      <w:r w:rsidR="001F5AAA" w:rsidRPr="001F5AAA">
        <w:rPr>
          <w:rFonts w:asciiTheme="minorHAnsi" w:hAnsiTheme="minorHAnsi" w:cstheme="minorHAnsi"/>
          <w:sz w:val="22"/>
          <w:szCs w:val="22"/>
        </w:rPr>
        <w:t xml:space="preserve">” </w:t>
      </w:r>
      <w:r w:rsidR="001F5AAA">
        <w:rPr>
          <w:rFonts w:asciiTheme="minorHAnsi" w:hAnsiTheme="minorHAnsi" w:cstheme="minorHAnsi"/>
          <w:sz w:val="22"/>
          <w:szCs w:val="22"/>
        </w:rPr>
        <w:t xml:space="preserve">in quanto </w:t>
      </w:r>
      <w:r w:rsidR="001F5AAA" w:rsidRPr="001F5AAA">
        <w:rPr>
          <w:rFonts w:asciiTheme="minorHAnsi" w:hAnsiTheme="minorHAnsi" w:cstheme="minorHAnsi"/>
          <w:sz w:val="22"/>
          <w:szCs w:val="22"/>
        </w:rPr>
        <w:t xml:space="preserve">non </w:t>
      </w:r>
      <w:r>
        <w:rPr>
          <w:rFonts w:asciiTheme="minorHAnsi" w:hAnsiTheme="minorHAnsi" w:cstheme="minorHAnsi"/>
          <w:sz w:val="22"/>
          <w:szCs w:val="22"/>
        </w:rPr>
        <w:t xml:space="preserve">implicanti </w:t>
      </w:r>
      <w:r w:rsidR="001F5AAA" w:rsidRPr="001F5AAA">
        <w:rPr>
          <w:rFonts w:asciiTheme="minorHAnsi" w:hAnsiTheme="minorHAnsi" w:cstheme="minorHAnsi"/>
          <w:sz w:val="22"/>
          <w:szCs w:val="22"/>
        </w:rPr>
        <w:t xml:space="preserve">la fabbricazione, l’immissione in commercio o l’uso di: </w:t>
      </w:r>
    </w:p>
    <w:p w14:paraId="22B87218" w14:textId="77777777" w:rsidR="001F5AAA" w:rsidRDefault="001F5AAA" w:rsidP="001F5AAA">
      <w:pPr>
        <w:widowControl w:val="0"/>
        <w:spacing w:before="0" w:after="0" w:line="240" w:lineRule="auto"/>
        <w:rPr>
          <w:rFonts w:asciiTheme="minorHAnsi" w:hAnsiTheme="minorHAnsi" w:cstheme="minorHAnsi"/>
          <w:sz w:val="22"/>
          <w:szCs w:val="22"/>
        </w:rPr>
      </w:pPr>
    </w:p>
    <w:p w14:paraId="55E3D355" w14:textId="77777777"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sostanze, sia allo stato puro che all’interno di miscele o di articoli, elencate nell’allegato I o II del regolamento (UE) 2019/1021, tranne nel caso di sostanze presenti sotto forma di contaminanti non intenzionali in tracce (link ove consultare il regolamento https://eur- lex.europa.eu/legalcontent/IT/TXT/PDF/?uri=CELEX:32019R1021);</w:t>
      </w:r>
    </w:p>
    <w:p w14:paraId="06E7693B" w14:textId="77777777"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 xml:space="preserve">mercurio, composti del mercurio, miscele di mercurio e prodotti con aggiunta di mercurio, quali definiti all’articolo 2 del regolamento (UE) 2017/852; </w:t>
      </w:r>
    </w:p>
    <w:p w14:paraId="70BBA795" w14:textId="77777777"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 xml:space="preserve">sostanze, sia allo stato puro che all’interno di miscele o di articoli, elencate nell’allegato I o II del regolamento (CE) n. 1005/2009 (link ove consultare il regolamento </w:t>
      </w:r>
      <w:hyperlink r:id="rId11" w:history="1">
        <w:r w:rsidRPr="001F5AAA">
          <w:rPr>
            <w:rStyle w:val="Collegamentoipertestuale"/>
            <w:rFonts w:asciiTheme="minorHAnsi" w:hAnsiTheme="minorHAnsi" w:cstheme="minorHAnsi"/>
            <w:sz w:val="22"/>
            <w:szCs w:val="22"/>
          </w:rPr>
          <w:t>https://eurlex.europa.eu/legal-</w:t>
        </w:r>
        <w:r w:rsidRPr="001F5AAA">
          <w:rPr>
            <w:rStyle w:val="Collegamentoipertestuale"/>
            <w:rFonts w:asciiTheme="minorHAnsi" w:hAnsiTheme="minorHAnsi" w:cstheme="minorHAnsi"/>
            <w:sz w:val="22"/>
            <w:szCs w:val="22"/>
          </w:rPr>
          <w:lastRenderedPageBreak/>
          <w:t>content/IT/TXT/PDF/?uri=CELEX:32009R1005&amp;from=IT</w:t>
        </w:r>
      </w:hyperlink>
      <w:r w:rsidRPr="001F5AAA">
        <w:rPr>
          <w:rFonts w:asciiTheme="minorHAnsi" w:hAnsiTheme="minorHAnsi" w:cstheme="minorHAnsi"/>
          <w:sz w:val="22"/>
          <w:szCs w:val="22"/>
        </w:rPr>
        <w:t xml:space="preserve">); </w:t>
      </w:r>
    </w:p>
    <w:p w14:paraId="71DF23D1" w14:textId="77777777"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 xml:space="preserve">sostanze, sia allo stato puro che all’interno di miscele o di articoli, elencate nell’allegato II della direttiva 2011/65/UE, tranne quando è garantito il pieno rispetto dell’articolo 4, paragrafo 1, di tale direttiva (link ove consultare il regolamento </w:t>
      </w:r>
      <w:hyperlink r:id="rId12" w:history="1">
        <w:r w:rsidRPr="001F5AAA">
          <w:rPr>
            <w:rStyle w:val="Collegamentoipertestuale"/>
            <w:rFonts w:asciiTheme="minorHAnsi" w:hAnsiTheme="minorHAnsi" w:cstheme="minorHAnsi"/>
            <w:sz w:val="22"/>
            <w:szCs w:val="22"/>
          </w:rPr>
          <w:t>https://eurlex.europa.eu/LexUriServ/LexUriServ.do?uri=OJ:L:2011:174:0088:0110:IT:PDF</w:t>
        </w:r>
      </w:hyperlink>
      <w:r w:rsidRPr="001F5AAA">
        <w:rPr>
          <w:rFonts w:asciiTheme="minorHAnsi" w:hAnsiTheme="minorHAnsi" w:cstheme="minorHAnsi"/>
          <w:sz w:val="22"/>
          <w:szCs w:val="22"/>
        </w:rPr>
        <w:t xml:space="preserve">) </w:t>
      </w:r>
    </w:p>
    <w:p w14:paraId="30518348" w14:textId="77777777"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 xml:space="preserve">sostanze, sia allo stato puro che all’interno di miscele o di un articolo, elencate nell’allegato XVII del regolamento (CE) n. 1907/2006, tranne quando è garantito il pieno rispetto delle condizioni di cui a tale allegato: </w:t>
      </w:r>
      <w:hyperlink r:id="rId13" w:history="1">
        <w:r w:rsidRPr="001F5AAA">
          <w:rPr>
            <w:rStyle w:val="Collegamentoipertestuale"/>
            <w:rFonts w:asciiTheme="minorHAnsi" w:hAnsiTheme="minorHAnsi" w:cstheme="minorHAnsi"/>
            <w:sz w:val="22"/>
            <w:szCs w:val="22"/>
          </w:rPr>
          <w:t>https://eur-lex.europa.eu/legalcontent/IT/TXT/PDF/?uri=CELEX:32006R1907R(01)</w:t>
        </w:r>
      </w:hyperlink>
      <w:r w:rsidRPr="001F5AAA">
        <w:rPr>
          <w:rFonts w:asciiTheme="minorHAnsi" w:hAnsiTheme="minorHAnsi" w:cstheme="minorHAnsi"/>
          <w:sz w:val="22"/>
          <w:szCs w:val="22"/>
        </w:rPr>
        <w:t xml:space="preserve">; </w:t>
      </w:r>
    </w:p>
    <w:p w14:paraId="614085FA" w14:textId="53949D2D"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sostanze, sia allo stato puro che all’interno di miscele o di articoli, in concentrazione superiore a 0,1% peso/peso, che soddisfano i criteri di cui all’articolo 57 del regolamento (CE) n. 1907/2006, che sono state identificate a norma dell’articolo 59, paragrafo 1, di tale regolamento, per un periodo di almeno 18 mesi, tranne</w:t>
      </w:r>
      <w:r w:rsidR="00CA1DF7">
        <w:rPr>
          <w:rFonts w:asciiTheme="minorHAnsi" w:hAnsiTheme="minorHAnsi" w:cstheme="minorHAnsi"/>
          <w:sz w:val="22"/>
          <w:szCs w:val="22"/>
        </w:rPr>
        <w:t xml:space="preserve"> </w:t>
      </w:r>
      <w:r w:rsidRPr="001F5AAA">
        <w:rPr>
          <w:rFonts w:asciiTheme="minorHAnsi" w:hAnsiTheme="minorHAnsi" w:cstheme="minorHAnsi"/>
          <w:sz w:val="22"/>
          <w:szCs w:val="22"/>
        </w:rPr>
        <w:t xml:space="preserve">se gli operatori valutano e documentano che non è disponibile sul mercato nessun’altra sostanza o tecnologia alternativa adatta e che sono usate in condizioni controllate. Si tratta di quelle elencate nell’Authorization List del Regolamento Reach consultabili al link </w:t>
      </w:r>
      <w:hyperlink r:id="rId14" w:history="1">
        <w:r w:rsidRPr="001F5AAA">
          <w:rPr>
            <w:rStyle w:val="Collegamentoipertestuale"/>
            <w:rFonts w:asciiTheme="minorHAnsi" w:hAnsiTheme="minorHAnsi" w:cstheme="minorHAnsi"/>
            <w:sz w:val="22"/>
            <w:szCs w:val="22"/>
          </w:rPr>
          <w:t>https://echa.europa.eu/it/candidate-list-table</w:t>
        </w:r>
      </w:hyperlink>
      <w:r w:rsidRPr="001F5AAA">
        <w:rPr>
          <w:rFonts w:asciiTheme="minorHAnsi" w:hAnsiTheme="minorHAnsi" w:cstheme="minorHAnsi"/>
          <w:sz w:val="22"/>
          <w:szCs w:val="22"/>
        </w:rPr>
        <w:t xml:space="preserve">; </w:t>
      </w:r>
    </w:p>
    <w:p w14:paraId="644E3C83" w14:textId="5227F074" w:rsidR="001F5AAA" w:rsidRP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 xml:space="preserve">altre sostanze, sia allo stato puro che all’interno di miscele o di un articolo, che soddisfano i criteri di cui all’art.57 del regolamento (CE) n. 1907/2006, tranne quando il loro uso si sia dimostrato essenziale per la società. </w:t>
      </w:r>
    </w:p>
    <w:p w14:paraId="31D82C02" w14:textId="77777777" w:rsidR="001F5AAA" w:rsidRDefault="001F5AAA" w:rsidP="001F5AAA">
      <w:pPr>
        <w:widowControl w:val="0"/>
        <w:spacing w:before="0" w:after="0" w:line="240" w:lineRule="auto"/>
        <w:rPr>
          <w:rFonts w:asciiTheme="minorHAnsi" w:hAnsiTheme="minorHAnsi" w:cstheme="minorHAnsi"/>
          <w:sz w:val="22"/>
          <w:szCs w:val="22"/>
        </w:rPr>
      </w:pPr>
    </w:p>
    <w:p w14:paraId="57481E53" w14:textId="1F748FE0" w:rsidR="001F5AAA" w:rsidRDefault="001F5AAA" w:rsidP="001F5AAA">
      <w:pPr>
        <w:pStyle w:val="Corpodeltesto1"/>
        <w:spacing w:before="120" w:line="360" w:lineRule="exact"/>
        <w:jc w:val="center"/>
        <w:rPr>
          <w:rFonts w:asciiTheme="minorHAnsi" w:hAnsiTheme="minorHAnsi" w:cstheme="minorHAnsi"/>
          <w:b/>
          <w:bCs/>
          <w:sz w:val="22"/>
          <w:szCs w:val="22"/>
        </w:rPr>
      </w:pPr>
      <w:r w:rsidRPr="00DB1588">
        <w:rPr>
          <w:rFonts w:asciiTheme="minorHAnsi" w:hAnsiTheme="minorHAnsi" w:cstheme="minorHAnsi"/>
          <w:b/>
          <w:bCs/>
          <w:caps/>
          <w:sz w:val="22"/>
          <w:szCs w:val="22"/>
        </w:rPr>
        <w:t>Dichiara</w:t>
      </w:r>
      <w:r w:rsidRPr="00DB1588">
        <w:rPr>
          <w:rFonts w:asciiTheme="minorHAnsi" w:hAnsiTheme="minorHAnsi" w:cstheme="minorHAnsi"/>
          <w:b/>
          <w:bCs/>
          <w:sz w:val="22"/>
          <w:szCs w:val="22"/>
        </w:rPr>
        <w:t xml:space="preserve"> </w:t>
      </w:r>
      <w:r>
        <w:rPr>
          <w:rFonts w:asciiTheme="minorHAnsi" w:hAnsiTheme="minorHAnsi" w:cstheme="minorHAnsi"/>
          <w:b/>
          <w:bCs/>
          <w:sz w:val="22"/>
          <w:szCs w:val="22"/>
        </w:rPr>
        <w:t>INOLTRE</w:t>
      </w:r>
    </w:p>
    <w:p w14:paraId="18E2FE72" w14:textId="77777777" w:rsidR="001F5AAA" w:rsidRDefault="001F5AAA" w:rsidP="001F5AAA">
      <w:pPr>
        <w:widowControl w:val="0"/>
        <w:spacing w:before="0" w:after="0" w:line="240" w:lineRule="auto"/>
        <w:rPr>
          <w:rFonts w:asciiTheme="minorHAnsi" w:hAnsiTheme="minorHAnsi" w:cstheme="minorHAnsi"/>
          <w:sz w:val="22"/>
          <w:szCs w:val="22"/>
        </w:rPr>
      </w:pPr>
    </w:p>
    <w:p w14:paraId="2568BCFA" w14:textId="38B5F1F8" w:rsidR="001F5AAA" w:rsidRDefault="009256D6" w:rsidP="001F5AAA">
      <w:pPr>
        <w:widowControl w:val="0"/>
        <w:spacing w:before="0" w:after="0" w:line="240" w:lineRule="auto"/>
        <w:rPr>
          <w:rFonts w:asciiTheme="minorHAnsi" w:hAnsiTheme="minorHAnsi" w:cstheme="minorHAnsi"/>
          <w:sz w:val="22"/>
          <w:szCs w:val="22"/>
        </w:rPr>
      </w:pPr>
      <w:r>
        <w:rPr>
          <w:rFonts w:asciiTheme="minorHAnsi" w:hAnsiTheme="minorHAnsi" w:cstheme="minorHAnsi"/>
          <w:sz w:val="22"/>
          <w:szCs w:val="22"/>
        </w:rPr>
        <w:t xml:space="preserve">Di impegnarsi a far sì </w:t>
      </w:r>
      <w:r w:rsidR="008E3C3B">
        <w:rPr>
          <w:rFonts w:asciiTheme="minorHAnsi" w:hAnsiTheme="minorHAnsi" w:cstheme="minorHAnsi"/>
          <w:sz w:val="22"/>
          <w:szCs w:val="22"/>
        </w:rPr>
        <w:t xml:space="preserve">che </w:t>
      </w:r>
      <w:r w:rsidR="001F5AAA" w:rsidRPr="001F5AAA">
        <w:rPr>
          <w:rFonts w:asciiTheme="minorHAnsi" w:hAnsiTheme="minorHAnsi" w:cstheme="minorHAnsi"/>
          <w:sz w:val="22"/>
          <w:szCs w:val="22"/>
        </w:rPr>
        <w:t>l’attività non comport</w:t>
      </w:r>
      <w:r>
        <w:rPr>
          <w:rFonts w:asciiTheme="minorHAnsi" w:hAnsiTheme="minorHAnsi" w:cstheme="minorHAnsi"/>
          <w:sz w:val="22"/>
          <w:szCs w:val="22"/>
        </w:rPr>
        <w:t>i</w:t>
      </w:r>
      <w:r w:rsidR="001F5AAA" w:rsidRPr="001F5AAA">
        <w:rPr>
          <w:rFonts w:asciiTheme="minorHAnsi" w:hAnsiTheme="minorHAnsi" w:cstheme="minorHAnsi"/>
          <w:sz w:val="22"/>
          <w:szCs w:val="22"/>
        </w:rPr>
        <w:t xml:space="preserve"> la fabbricazione, la presenza nel prodotto finale o nel risultato, o l’immissione sul mercato di altre sostanze, sia allo stato puro che all’interno di miscele o di articoli, in concentrazione superiore a 0,1 % peso/peso, che soddisfano i criteri del regolamento (CE) n. 1272/2008 per una delle classi di pericolo o delle categorie di pericolo di cui all’articolo 57 del regolamento (CE) n. 1907/2006, tranne </w:t>
      </w:r>
      <w:r>
        <w:rPr>
          <w:rFonts w:asciiTheme="minorHAnsi" w:hAnsiTheme="minorHAnsi" w:cstheme="minorHAnsi"/>
          <w:sz w:val="22"/>
          <w:szCs w:val="22"/>
        </w:rPr>
        <w:t xml:space="preserve">il caso in cui l’aggiudicatario avrà </w:t>
      </w:r>
      <w:r w:rsidR="001F5AAA" w:rsidRPr="001F5AAA">
        <w:rPr>
          <w:rFonts w:asciiTheme="minorHAnsi" w:hAnsiTheme="minorHAnsi" w:cstheme="minorHAnsi"/>
          <w:sz w:val="22"/>
          <w:szCs w:val="22"/>
        </w:rPr>
        <w:t>valutato e documentato che non è disponibile sul mercato nessun’altra sostanza o tecnologia alternativa adatta, e che sono usate in condizioni controllate.</w:t>
      </w:r>
    </w:p>
    <w:p w14:paraId="69607C0F" w14:textId="77777777" w:rsidR="001F5AAA" w:rsidRDefault="001F5AAA" w:rsidP="001F5AAA">
      <w:pPr>
        <w:widowControl w:val="0"/>
        <w:spacing w:before="0" w:after="0" w:line="240" w:lineRule="auto"/>
        <w:rPr>
          <w:rFonts w:asciiTheme="minorHAnsi" w:hAnsiTheme="minorHAnsi" w:cstheme="minorHAnsi"/>
          <w:sz w:val="22"/>
          <w:szCs w:val="22"/>
        </w:rPr>
      </w:pPr>
    </w:p>
    <w:p w14:paraId="2A46B1AB" w14:textId="77777777" w:rsidR="001F5AAA" w:rsidRDefault="001F5AAA" w:rsidP="001F5AAA">
      <w:pPr>
        <w:widowControl w:val="0"/>
        <w:spacing w:before="0" w:after="0" w:line="240" w:lineRule="auto"/>
        <w:rPr>
          <w:rFonts w:asciiTheme="minorHAnsi" w:hAnsiTheme="minorHAnsi" w:cstheme="minorHAnsi"/>
          <w:sz w:val="22"/>
          <w:szCs w:val="22"/>
        </w:rPr>
      </w:pPr>
    </w:p>
    <w:p w14:paraId="1C10E26B" w14:textId="77777777" w:rsidR="001F5AAA" w:rsidRDefault="001F5AAA" w:rsidP="001F5AAA">
      <w:pPr>
        <w:widowControl w:val="0"/>
        <w:spacing w:before="0" w:after="0" w:line="240" w:lineRule="auto"/>
        <w:rPr>
          <w:rFonts w:asciiTheme="minorHAnsi" w:hAnsiTheme="minorHAnsi" w:cstheme="minorHAnsi"/>
          <w:sz w:val="22"/>
          <w:szCs w:val="22"/>
        </w:rPr>
      </w:pPr>
    </w:p>
    <w:p w14:paraId="56C1A3AD" w14:textId="77777777" w:rsidR="001F5AAA" w:rsidRDefault="001F5AAA" w:rsidP="001F5AAA">
      <w:pPr>
        <w:widowControl w:val="0"/>
        <w:spacing w:before="0" w:after="0" w:line="240" w:lineRule="auto"/>
        <w:rPr>
          <w:rFonts w:asciiTheme="minorHAnsi" w:hAnsiTheme="minorHAnsi" w:cstheme="minorHAnsi"/>
          <w:sz w:val="22"/>
          <w:szCs w:val="22"/>
        </w:rPr>
      </w:pPr>
    </w:p>
    <w:p w14:paraId="456105D4" w14:textId="4ECAD7B2" w:rsidR="008A73A5" w:rsidRPr="00855501" w:rsidRDefault="008A73A5" w:rsidP="00CA1DF7">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2"/>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3"/>
      </w:r>
      <w:bookmarkEnd w:id="1"/>
    </w:p>
    <w:p w14:paraId="4DF54ABB" w14:textId="25F338C0" w:rsidR="001061C1" w:rsidRPr="00CA1DF7" w:rsidRDefault="001061C1" w:rsidP="00CA1DF7">
      <w:pPr>
        <w:spacing w:before="0" w:after="0" w:line="240" w:lineRule="auto"/>
        <w:jc w:val="left"/>
        <w:rPr>
          <w:sz w:val="20"/>
          <w:szCs w:val="20"/>
          <w:lang w:eastAsia="en-US"/>
        </w:rPr>
      </w:pPr>
    </w:p>
    <w:sectPr w:rsidR="001061C1" w:rsidRPr="00CA1DF7" w:rsidSect="007E5D5E">
      <w:headerReference w:type="default" r:id="rId15"/>
      <w:footerReference w:type="default" r:id="rId16"/>
      <w:headerReference w:type="first" r:id="rId17"/>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EF1A0B" w14:textId="77777777" w:rsidR="00FD419D" w:rsidRDefault="00FD419D">
      <w:r>
        <w:separator/>
      </w:r>
    </w:p>
  </w:endnote>
  <w:endnote w:type="continuationSeparator" w:id="0">
    <w:p w14:paraId="31F1162E" w14:textId="77777777" w:rsidR="00FD419D" w:rsidRDefault="00FD4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499260" w14:textId="77777777" w:rsidR="00FD419D" w:rsidRDefault="00FD419D">
      <w:r>
        <w:separator/>
      </w:r>
    </w:p>
  </w:footnote>
  <w:footnote w:type="continuationSeparator" w:id="0">
    <w:p w14:paraId="56C7A90C" w14:textId="77777777" w:rsidR="00FD419D" w:rsidRDefault="00FD419D">
      <w:r>
        <w:continuationSeparator/>
      </w:r>
    </w:p>
  </w:footnote>
  <w:footnote w:id="1">
    <w:p w14:paraId="490EC5D7" w14:textId="52856A00" w:rsidR="00CA1DF7" w:rsidRPr="00CA1DF7" w:rsidRDefault="00CA1DF7" w:rsidP="000971C1">
      <w:pPr>
        <w:pStyle w:val="Testonotaapidipagina"/>
        <w:spacing w:after="0" w:line="240" w:lineRule="auto"/>
        <w:rPr>
          <w:rFonts w:asciiTheme="minorHAnsi" w:hAnsiTheme="minorHAnsi" w:cstheme="minorHAnsi"/>
          <w:sz w:val="16"/>
          <w:szCs w:val="16"/>
        </w:rPr>
      </w:pPr>
      <w:r w:rsidRPr="00CA1DF7">
        <w:rPr>
          <w:rStyle w:val="Rimandonotaapidipagina"/>
          <w:rFonts w:asciiTheme="minorHAnsi" w:hAnsiTheme="minorHAnsi" w:cstheme="minorHAnsi"/>
          <w:szCs w:val="16"/>
          <w:vertAlign w:val="superscript"/>
        </w:rPr>
        <w:footnoteRef/>
      </w:r>
      <w:r w:rsidRPr="00CA1DF7">
        <w:rPr>
          <w:rFonts w:asciiTheme="minorHAnsi" w:hAnsiTheme="minorHAnsi" w:cstheme="minorHAnsi"/>
          <w:sz w:val="16"/>
          <w:szCs w:val="16"/>
          <w:vertAlign w:val="superscript"/>
        </w:rPr>
        <w:t xml:space="preserve"> </w:t>
      </w:r>
      <w:r w:rsidRPr="00CA1DF7">
        <w:rPr>
          <w:rFonts w:asciiTheme="minorHAnsi" w:hAnsiTheme="minorHAnsi" w:cstheme="minorHAnsi"/>
          <w:sz w:val="16"/>
          <w:szCs w:val="16"/>
        </w:rPr>
        <w:t>Dichiarazione da rendere in caso di approvvigionamento di strumentazioni/app</w:t>
      </w:r>
      <w:r>
        <w:rPr>
          <w:rFonts w:asciiTheme="minorHAnsi" w:hAnsiTheme="minorHAnsi" w:cstheme="minorHAnsi"/>
          <w:sz w:val="16"/>
          <w:szCs w:val="16"/>
        </w:rPr>
        <w:t>arecchiature</w:t>
      </w:r>
      <w:r w:rsidRPr="00CA1DF7">
        <w:rPr>
          <w:rFonts w:asciiTheme="minorHAnsi" w:hAnsiTheme="minorHAnsi" w:cstheme="minorHAnsi"/>
          <w:sz w:val="16"/>
          <w:szCs w:val="16"/>
        </w:rPr>
        <w:t xml:space="preserve"> che r</w:t>
      </w:r>
      <w:r>
        <w:rPr>
          <w:rFonts w:asciiTheme="minorHAnsi" w:hAnsiTheme="minorHAnsi" w:cstheme="minorHAnsi"/>
          <w:sz w:val="16"/>
          <w:szCs w:val="16"/>
        </w:rPr>
        <w:t>ientrino</w:t>
      </w:r>
      <w:r w:rsidRPr="00CA1DF7">
        <w:rPr>
          <w:rFonts w:asciiTheme="minorHAnsi" w:hAnsiTheme="minorHAnsi" w:cstheme="minorHAnsi"/>
          <w:sz w:val="16"/>
          <w:szCs w:val="16"/>
        </w:rPr>
        <w:t xml:space="preserve"> nel campo di applicazione della Scheda 3 </w:t>
      </w:r>
      <w:r>
        <w:rPr>
          <w:rFonts w:asciiTheme="minorHAnsi" w:hAnsiTheme="minorHAnsi" w:cstheme="minorHAnsi"/>
          <w:sz w:val="16"/>
          <w:szCs w:val="16"/>
        </w:rPr>
        <w:t>“Apparecchiature elettriche ed elettroniche”, in modo da garantire il rispetto del principio di “Prevenzione e riduzione dell’inquinamento”.</w:t>
      </w:r>
    </w:p>
  </w:footnote>
  <w:footnote w:id="2">
    <w:p w14:paraId="208B8F48" w14:textId="54308E10" w:rsidR="008A73A5" w:rsidRPr="00B10CA3" w:rsidRDefault="008A73A5" w:rsidP="008A73A5">
      <w:pPr>
        <w:pStyle w:val="Testonotaapidipagina"/>
        <w:spacing w:after="0" w:line="240" w:lineRule="auto"/>
        <w:jc w:val="both"/>
        <w:rPr>
          <w:rFonts w:ascii="Calibri" w:hAnsi="Calibri" w:cs="Calibri"/>
          <w:sz w:val="13"/>
          <w:szCs w:val="13"/>
        </w:rPr>
      </w:pPr>
      <w:r w:rsidRPr="00B10CA3">
        <w:rPr>
          <w:rStyle w:val="Rimandonotaapidipagina"/>
          <w:rFonts w:ascii="Calibri" w:hAnsi="Calibri" w:cs="Calibri"/>
          <w:sz w:val="13"/>
          <w:szCs w:val="13"/>
          <w:vertAlign w:val="superscript"/>
        </w:rPr>
        <w:footnoteRef/>
      </w:r>
      <w:r w:rsidRPr="00B10CA3">
        <w:rPr>
          <w:rFonts w:ascii="Calibri" w:hAnsi="Calibri" w:cs="Calibri"/>
          <w:sz w:val="13"/>
          <w:szCs w:val="13"/>
        </w:rPr>
        <w:t xml:space="preserve"> Per gli operatori economici italiani o stranieri residenti in Italia, la dichiarazione deve essere sottoscritta da un legale rappresentante ovvero da un procuratore</w:t>
      </w:r>
      <w:r w:rsidR="00C1433F" w:rsidRPr="00B10CA3">
        <w:rPr>
          <w:rFonts w:ascii="Calibri" w:hAnsi="Calibri" w:cs="Calibri"/>
          <w:sz w:val="13"/>
          <w:szCs w:val="13"/>
          <w:vertAlign w:val="superscript"/>
        </w:rPr>
        <w:t xml:space="preserve">6  </w:t>
      </w:r>
      <w:r w:rsidRPr="00B10CA3">
        <w:rPr>
          <w:rFonts w:ascii="Calibri" w:hAnsi="Calibri" w:cs="Calibri"/>
          <w:sz w:val="13"/>
          <w:szCs w:val="13"/>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5048D68" w14:textId="77777777" w:rsidR="008A73A5" w:rsidRPr="00B10CA3" w:rsidRDefault="008A73A5" w:rsidP="008A73A5">
      <w:pPr>
        <w:pStyle w:val="Testonotaapidipagina"/>
        <w:spacing w:after="0" w:line="240" w:lineRule="auto"/>
        <w:jc w:val="both"/>
        <w:rPr>
          <w:sz w:val="13"/>
          <w:szCs w:val="13"/>
        </w:rPr>
      </w:pPr>
      <w:r w:rsidRPr="00B10CA3">
        <w:rPr>
          <w:rStyle w:val="Rimandonotaapidipagina"/>
          <w:rFonts w:ascii="Calibri" w:hAnsi="Calibri" w:cs="Calibri"/>
          <w:sz w:val="13"/>
          <w:szCs w:val="13"/>
          <w:vertAlign w:val="superscript"/>
        </w:rPr>
        <w:footnoteRef/>
      </w:r>
      <w:r w:rsidRPr="00B10CA3">
        <w:rPr>
          <w:rFonts w:ascii="Calibri" w:hAnsi="Calibri" w:cs="Calibri"/>
          <w:sz w:val="13"/>
          <w:szCs w:val="13"/>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C06327"/>
    <w:multiLevelType w:val="hybridMultilevel"/>
    <w:tmpl w:val="4C84C9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7"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9"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1D948AD"/>
    <w:multiLevelType w:val="hybridMultilevel"/>
    <w:tmpl w:val="907C91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2" w15:restartNumberingAfterBreak="0">
    <w:nsid w:val="2A0424A8"/>
    <w:multiLevelType w:val="hybridMultilevel"/>
    <w:tmpl w:val="5DD048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4"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08D15E7"/>
    <w:multiLevelType w:val="hybridMultilevel"/>
    <w:tmpl w:val="3B36E222"/>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2B74E8E"/>
    <w:multiLevelType w:val="hybridMultilevel"/>
    <w:tmpl w:val="E34C9E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8"/>
  </w:num>
  <w:num w:numId="2" w16cid:durableId="964313081">
    <w:abstractNumId w:val="5"/>
  </w:num>
  <w:num w:numId="3" w16cid:durableId="392387605">
    <w:abstractNumId w:val="7"/>
  </w:num>
  <w:num w:numId="4" w16cid:durableId="636224360">
    <w:abstractNumId w:val="11"/>
  </w:num>
  <w:num w:numId="5" w16cid:durableId="2056394492">
    <w:abstractNumId w:val="18"/>
  </w:num>
  <w:num w:numId="6" w16cid:durableId="381440517">
    <w:abstractNumId w:val="14"/>
  </w:num>
  <w:num w:numId="7" w16cid:durableId="323628437">
    <w:abstractNumId w:val="9"/>
  </w:num>
  <w:num w:numId="8" w16cid:durableId="765613216">
    <w:abstractNumId w:val="6"/>
  </w:num>
  <w:num w:numId="9" w16cid:durableId="171916993">
    <w:abstractNumId w:val="1"/>
  </w:num>
  <w:num w:numId="10" w16cid:durableId="114103309">
    <w:abstractNumId w:val="4"/>
  </w:num>
  <w:num w:numId="11" w16cid:durableId="495654002">
    <w:abstractNumId w:val="16"/>
  </w:num>
  <w:num w:numId="12" w16cid:durableId="1655521690">
    <w:abstractNumId w:val="3"/>
  </w:num>
  <w:num w:numId="13" w16cid:durableId="629362016">
    <w:abstractNumId w:val="12"/>
  </w:num>
  <w:num w:numId="14" w16cid:durableId="2124767150">
    <w:abstractNumId w:val="17"/>
  </w:num>
  <w:num w:numId="15" w16cid:durableId="1915309118">
    <w:abstractNumId w:val="15"/>
  </w:num>
  <w:num w:numId="16" w16cid:durableId="281107920">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1C1"/>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4B50"/>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B09"/>
    <w:rsid w:val="001F1D3B"/>
    <w:rsid w:val="001F2958"/>
    <w:rsid w:val="001F2C61"/>
    <w:rsid w:val="001F4C49"/>
    <w:rsid w:val="001F5084"/>
    <w:rsid w:val="001F5AAA"/>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738"/>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96121"/>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090E"/>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38FB"/>
    <w:rsid w:val="007B5A66"/>
    <w:rsid w:val="007B64F2"/>
    <w:rsid w:val="007B688F"/>
    <w:rsid w:val="007B6933"/>
    <w:rsid w:val="007B6A4D"/>
    <w:rsid w:val="007C0409"/>
    <w:rsid w:val="007C1F59"/>
    <w:rsid w:val="007C2127"/>
    <w:rsid w:val="007C40A0"/>
    <w:rsid w:val="007C4637"/>
    <w:rsid w:val="007C6AE4"/>
    <w:rsid w:val="007C73F6"/>
    <w:rsid w:val="007D2553"/>
    <w:rsid w:val="007D267B"/>
    <w:rsid w:val="007D2686"/>
    <w:rsid w:val="007D2730"/>
    <w:rsid w:val="007D2742"/>
    <w:rsid w:val="007D34AF"/>
    <w:rsid w:val="007D75EF"/>
    <w:rsid w:val="007D7FAB"/>
    <w:rsid w:val="007E0A76"/>
    <w:rsid w:val="007E249A"/>
    <w:rsid w:val="007E4103"/>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5501"/>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3C3B"/>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56D6"/>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40F"/>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0CA3"/>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1DF7"/>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5B7"/>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6B0D"/>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D6F5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19D"/>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1">
    <w:name w:val="Corpo del testo1"/>
    <w:basedOn w:val="Normale"/>
    <w:uiPriority w:val="99"/>
    <w:qFormat/>
    <w:rsid w:val="003B7738"/>
    <w:pPr>
      <w:suppressAutoHyphens/>
      <w:spacing w:before="0" w:line="240" w:lineRule="auto"/>
      <w:jc w:val="left"/>
    </w:pPr>
    <w:rPr>
      <w:lang w:eastAsia="ar-SA"/>
    </w:rPr>
  </w:style>
  <w:style w:type="character" w:styleId="Menzionenonrisolta">
    <w:name w:val="Unresolved Mention"/>
    <w:basedOn w:val="Carpredefinitoparagrafo"/>
    <w:uiPriority w:val="99"/>
    <w:semiHidden/>
    <w:unhideWhenUsed/>
    <w:rsid w:val="001F5A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IT/TXT/PDF/?uri=CELEX:32006R1907R(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xUriServ/LexUriServ.do?uri=OJ:L:2011:174:0088:0110:IT: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IT/TXT/PDF/?uri=CELEX:32009R1005&amp;from=I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ha.europa.eu/it/candidate-list-tab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2.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3.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716</Words>
  <Characters>4764</Characters>
  <Application>Microsoft Office Word</Application>
  <DocSecurity>0</DocSecurity>
  <Lines>39</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Claudia Mottin</cp:lastModifiedBy>
  <cp:revision>4</cp:revision>
  <cp:lastPrinted>2024-04-23T09:58:00Z</cp:lastPrinted>
  <dcterms:created xsi:type="dcterms:W3CDTF">2024-04-24T17:39:00Z</dcterms:created>
  <dcterms:modified xsi:type="dcterms:W3CDTF">2024-06-26T21:58:00Z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