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6A8F9" w14:textId="09D2E330" w:rsidR="00D077FA" w:rsidRDefault="007F5082" w:rsidP="004572D1">
      <w:pPr>
        <w:jc w:val="both"/>
        <w:rPr>
          <w:rFonts w:cstheme="minorHAnsi"/>
          <w:b/>
          <w:bCs/>
          <w:color w:val="000000"/>
          <w:spacing w:val="-1"/>
        </w:rPr>
      </w:pPr>
      <w:r w:rsidRPr="007F5082">
        <w:rPr>
          <w:rFonts w:cstheme="minorHAnsi"/>
          <w:b/>
          <w:bCs/>
          <w:caps/>
        </w:rPr>
        <w:t>RELAZIONE TECNICA</w:t>
      </w:r>
      <w:r>
        <w:rPr>
          <w:rFonts w:cstheme="minorHAnsi"/>
          <w:caps/>
        </w:rPr>
        <w:t xml:space="preserve"> </w:t>
      </w:r>
      <w:r w:rsidR="00BA1015" w:rsidRPr="00BA1015">
        <w:rPr>
          <w:rFonts w:cstheme="minorHAnsi"/>
          <w:caps/>
          <w:szCs w:val="20"/>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2F2D8B" w14:paraId="194A10FB" w14:textId="77777777" w:rsidTr="001C53E4">
        <w:trPr>
          <w:trHeight w:val="572"/>
        </w:trPr>
        <w:tc>
          <w:tcPr>
            <w:tcW w:w="516" w:type="dxa"/>
          </w:tcPr>
          <w:p w14:paraId="06CD4B01" w14:textId="77777777" w:rsidR="004D3E5E" w:rsidRPr="002F2D8B" w:rsidRDefault="004D3E5E" w:rsidP="004D3E5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C30D74" w14:textId="77777777" w:rsidR="004D3E5E" w:rsidRPr="002F2D8B" w:rsidRDefault="004D3E5E" w:rsidP="004D3E5E">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31E7D570" w14:textId="678A58EC" w:rsidR="004D3E5E" w:rsidRPr="00176117" w:rsidRDefault="001C53E4" w:rsidP="004D3E5E">
            <w:pPr>
              <w:rPr>
                <w:rFonts w:cstheme="minorHAnsi"/>
                <w:iCs/>
              </w:rPr>
            </w:pPr>
            <w:r w:rsidRPr="001C53E4">
              <w:rPr>
                <w:rFonts w:cstheme="minorHAnsi"/>
                <w:iCs/>
              </w:rPr>
              <w:t>Fornitura e installazione di n. 3 sistemi di misura del flusso idrico con trasmissione dati in real time</w:t>
            </w:r>
          </w:p>
        </w:tc>
        <w:tc>
          <w:tcPr>
            <w:tcW w:w="2120" w:type="dxa"/>
            <w:tcBorders>
              <w:top w:val="single" w:sz="4" w:space="0" w:color="auto"/>
              <w:left w:val="single" w:sz="4" w:space="0" w:color="auto"/>
              <w:bottom w:val="single" w:sz="4" w:space="0" w:color="auto"/>
              <w:right w:val="single" w:sz="4" w:space="0" w:color="auto"/>
            </w:tcBorders>
            <w:vAlign w:val="center"/>
          </w:tcPr>
          <w:p w14:paraId="25F3E94E" w14:textId="057D2831" w:rsidR="004D3E5E" w:rsidRPr="00124E24" w:rsidRDefault="00BA1015" w:rsidP="004D3E5E">
            <w:pPr>
              <w:jc w:val="center"/>
              <w:rPr>
                <w:rFonts w:cstheme="minorHAnsi"/>
                <w:iCs/>
              </w:rPr>
            </w:pPr>
            <w:bookmarkStart w:id="0" w:name="_GoBack"/>
            <w:bookmarkEnd w:id="0"/>
            <w:r>
              <w:rPr>
                <w:rFonts w:cstheme="minorHAnsi"/>
              </w:rPr>
              <w:t>B30CFDA8CA</w:t>
            </w:r>
          </w:p>
        </w:tc>
      </w:tr>
    </w:tbl>
    <w:p w14:paraId="49985FAE" w14:textId="77777777" w:rsidR="00103C57" w:rsidRDefault="00103C57" w:rsidP="00103C57">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25E26124" w14:textId="77777777" w:rsidR="005F242D" w:rsidRDefault="005F242D" w:rsidP="007F5082">
      <w:pPr>
        <w:jc w:val="both"/>
        <w:rPr>
          <w:rFonts w:cstheme="minorHAnsi"/>
          <w:i/>
        </w:rPr>
      </w:pPr>
    </w:p>
    <w:p w14:paraId="14CA900B" w14:textId="77777777" w:rsidR="005F242D" w:rsidRPr="005F242D" w:rsidRDefault="005F242D" w:rsidP="005F242D">
      <w:pPr>
        <w:jc w:val="both"/>
        <w:rPr>
          <w:rFonts w:cstheme="minorHAnsi"/>
          <w:b/>
          <w:i/>
        </w:rPr>
      </w:pPr>
      <w:r w:rsidRPr="005F242D">
        <w:rPr>
          <w:rFonts w:cstheme="minorHAnsi"/>
          <w:b/>
          <w:i/>
        </w:rPr>
        <w:t>Descrizione delle caratteristiche tecniche minime offerte secondo quanto richiesto all’art. 2 del Capitolato Tecnico</w:t>
      </w:r>
    </w:p>
    <w:p w14:paraId="3A04A534" w14:textId="2A6E378A" w:rsidR="005F242D" w:rsidRPr="005F242D" w:rsidRDefault="005F242D" w:rsidP="005F242D">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428000" w14:textId="3C8E1208" w:rsidR="005F242D" w:rsidRPr="005F242D" w:rsidRDefault="00681955" w:rsidP="005F242D">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b/>
          <w:i/>
        </w:rPr>
        <w:t>..</w:t>
      </w:r>
    </w:p>
    <w:p w14:paraId="15355E1D" w14:textId="77777777" w:rsidR="005F242D" w:rsidRPr="005F242D" w:rsidRDefault="005F242D" w:rsidP="005F242D">
      <w:pPr>
        <w:jc w:val="both"/>
        <w:rPr>
          <w:rFonts w:cstheme="minorHAnsi"/>
          <w:b/>
          <w:i/>
        </w:rPr>
      </w:pPr>
      <w:r w:rsidRPr="005F242D">
        <w:rPr>
          <w:rFonts w:cstheme="minorHAnsi"/>
          <w:b/>
          <w:i/>
        </w:rPr>
        <w:lastRenderedPageBreak/>
        <w:t>Caratteristiche tecniche offerte oggetto di valutazione (Rif.§ 19.1 Disciplinare di gara)</w:t>
      </w:r>
    </w:p>
    <w:p w14:paraId="3B683768" w14:textId="77777777" w:rsidR="005F242D" w:rsidRPr="005F242D" w:rsidRDefault="005F242D" w:rsidP="005F242D">
      <w:pPr>
        <w:jc w:val="both"/>
        <w:rPr>
          <w:rFonts w:cstheme="minorHAnsi"/>
          <w:b/>
          <w:i/>
        </w:rPr>
      </w:pPr>
    </w:p>
    <w:p w14:paraId="28226574" w14:textId="0F90D433" w:rsidR="005F242D" w:rsidRPr="00F9579C" w:rsidRDefault="005F242D" w:rsidP="005F242D">
      <w:pPr>
        <w:jc w:val="both"/>
        <w:rPr>
          <w:rFonts w:cstheme="minorHAnsi"/>
          <w:b/>
          <w:i/>
        </w:rPr>
      </w:pPr>
      <w:r w:rsidRPr="00F9579C">
        <w:rPr>
          <w:rFonts w:cstheme="minorHAnsi"/>
          <w:b/>
          <w:i/>
        </w:rPr>
        <w:t xml:space="preserve">Lotto n. 2 – </w:t>
      </w:r>
      <w:r w:rsidR="001C53E4" w:rsidRPr="001C53E4">
        <w:rPr>
          <w:rFonts w:cstheme="minorHAnsi"/>
          <w:b/>
          <w:i/>
        </w:rPr>
        <w:t>Fornitura e installazione di n. 3 sistemi di misura del flusso idrico con trasmissione dati in real time</w:t>
      </w:r>
    </w:p>
    <w:p w14:paraId="4A9AD05B" w14:textId="77777777" w:rsidR="005F242D" w:rsidRDefault="005F242D" w:rsidP="005F242D">
      <w:pPr>
        <w:jc w:val="both"/>
        <w:rPr>
          <w:rFonts w:cstheme="minorHAnsi"/>
          <w:b/>
          <w:i/>
        </w:rPr>
      </w:pPr>
      <w:r w:rsidRPr="005F242D">
        <w:rPr>
          <w:rFonts w:cstheme="minorHAnsi"/>
          <w:b/>
          <w:i/>
        </w:rPr>
        <w:t>Tabella dei criteri tabellari (T) di valutazione dell’offerta tecnica</w:t>
      </w:r>
    </w:p>
    <w:p w14:paraId="24117B2A" w14:textId="77777777" w:rsidR="00A571D2" w:rsidRDefault="00A571D2" w:rsidP="005F242D">
      <w:pPr>
        <w:jc w:val="both"/>
        <w:rPr>
          <w:rFonts w:cstheme="minorHAnsi"/>
          <w:b/>
          <w:i/>
        </w:rPr>
      </w:pP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3"/>
        <w:gridCol w:w="2786"/>
        <w:gridCol w:w="917"/>
        <w:gridCol w:w="737"/>
        <w:gridCol w:w="1815"/>
        <w:gridCol w:w="1275"/>
        <w:gridCol w:w="1661"/>
      </w:tblGrid>
      <w:tr w:rsidR="00A04DAF" w:rsidRPr="00A04DAF" w14:paraId="7FA8583F" w14:textId="77777777" w:rsidTr="009332ED">
        <w:trPr>
          <w:jc w:val="right"/>
        </w:trPr>
        <w:tc>
          <w:tcPr>
            <w:tcW w:w="403" w:type="dxa"/>
            <w:tcBorders>
              <w:bottom w:val="single" w:sz="4" w:space="0" w:color="000000"/>
            </w:tcBorders>
            <w:shd w:val="clear" w:color="auto" w:fill="D9D9D9"/>
            <w:vAlign w:val="center"/>
          </w:tcPr>
          <w:p w14:paraId="376D9F51" w14:textId="77777777" w:rsidR="00A04DAF" w:rsidRPr="00A04DAF" w:rsidRDefault="00A04DAF" w:rsidP="00A04DAF">
            <w:pPr>
              <w:spacing w:before="120" w:after="120" w:line="259" w:lineRule="auto"/>
              <w:contextualSpacing/>
              <w:jc w:val="center"/>
              <w:rPr>
                <w:rFonts w:ascii="Calibri" w:eastAsia="Gothic A1" w:hAnsi="Calibri" w:cstheme="minorHAnsi"/>
                <w:b/>
                <w:smallCaps/>
                <w:szCs w:val="20"/>
                <w:lang w:eastAsia="en-US"/>
              </w:rPr>
            </w:pPr>
            <w:r w:rsidRPr="00A04DAF">
              <w:rPr>
                <w:rFonts w:ascii="Calibri" w:eastAsia="Gothic A1" w:hAnsi="Calibri" w:cstheme="minorHAnsi"/>
                <w:b/>
                <w:smallCaps/>
                <w:szCs w:val="20"/>
                <w:lang w:eastAsia="en-US"/>
              </w:rPr>
              <w:t>N.</w:t>
            </w:r>
          </w:p>
        </w:tc>
        <w:tc>
          <w:tcPr>
            <w:tcW w:w="2786" w:type="dxa"/>
            <w:tcBorders>
              <w:bottom w:val="single" w:sz="4" w:space="0" w:color="000000"/>
            </w:tcBorders>
            <w:shd w:val="clear" w:color="auto" w:fill="D9D9D9"/>
            <w:vAlign w:val="center"/>
          </w:tcPr>
          <w:p w14:paraId="0385BB06" w14:textId="77777777" w:rsidR="00A04DAF" w:rsidRPr="00A04DAF" w:rsidRDefault="00A04DAF" w:rsidP="00A04DAF">
            <w:pPr>
              <w:spacing w:before="120" w:after="120" w:line="259" w:lineRule="auto"/>
              <w:contextualSpacing/>
              <w:jc w:val="center"/>
              <w:rPr>
                <w:rFonts w:ascii="Calibri" w:eastAsia="Gothic A1" w:hAnsi="Calibri" w:cstheme="minorHAnsi"/>
                <w:b/>
                <w:smallCaps/>
                <w:szCs w:val="20"/>
                <w:lang w:eastAsia="en-US"/>
              </w:rPr>
            </w:pPr>
            <w:r w:rsidRPr="00A04DAF">
              <w:rPr>
                <w:rFonts w:ascii="Calibri" w:eastAsia="Gothic A1" w:hAnsi="Calibri" w:cstheme="minorHAnsi"/>
                <w:b/>
                <w:smallCaps/>
                <w:szCs w:val="20"/>
                <w:lang w:eastAsia="en-US"/>
              </w:rPr>
              <w:t>Criterio di valutazione</w:t>
            </w:r>
          </w:p>
        </w:tc>
        <w:tc>
          <w:tcPr>
            <w:tcW w:w="917" w:type="dxa"/>
            <w:tcBorders>
              <w:bottom w:val="single" w:sz="4" w:space="0" w:color="000000"/>
            </w:tcBorders>
            <w:shd w:val="clear" w:color="auto" w:fill="D9D9D9"/>
            <w:vAlign w:val="center"/>
          </w:tcPr>
          <w:p w14:paraId="3C648B6E" w14:textId="6FA481D9" w:rsidR="00A04DAF" w:rsidRPr="00A04DAF" w:rsidRDefault="00A04DAF" w:rsidP="00A04DAF">
            <w:pPr>
              <w:spacing w:before="120" w:after="120" w:line="259" w:lineRule="auto"/>
              <w:contextualSpacing/>
              <w:jc w:val="center"/>
              <w:rPr>
                <w:rFonts w:ascii="Calibri" w:eastAsia="Gothic A1" w:hAnsi="Calibri" w:cstheme="minorHAnsi"/>
                <w:b/>
                <w:smallCaps/>
                <w:szCs w:val="20"/>
                <w:lang w:eastAsia="en-US"/>
              </w:rPr>
            </w:pPr>
            <w:r w:rsidRPr="00A04DAF">
              <w:rPr>
                <w:rFonts w:ascii="Calibri" w:eastAsia="Gothic A1" w:hAnsi="Calibri" w:cstheme="minorHAnsi"/>
                <w:b/>
                <w:smallCaps/>
                <w:szCs w:val="20"/>
                <w:lang w:eastAsia="en-US"/>
              </w:rPr>
              <w:t xml:space="preserve">Punti </w:t>
            </w:r>
            <w:sdt>
              <w:sdtPr>
                <w:rPr>
                  <w:rFonts w:ascii="Calibri" w:hAnsi="Calibri" w:cstheme="minorHAnsi"/>
                  <w:b/>
                  <w:smallCaps/>
                  <w:szCs w:val="20"/>
                  <w:lang w:eastAsia="en-US"/>
                </w:rPr>
                <w:tag w:val="goog_rdk_6"/>
                <w:id w:val="285175620"/>
                <w:placeholder>
                  <w:docPart w:val="CA66D5A4A5AC4A979CB29D9ECEDF6859"/>
                </w:placeholder>
              </w:sdtPr>
              <w:sdtEndPr/>
              <w:sdtContent/>
            </w:sdt>
            <w:r w:rsidRPr="00A04DAF">
              <w:rPr>
                <w:rFonts w:ascii="Calibri" w:eastAsia="Gothic A1" w:hAnsi="Calibri" w:cstheme="minorHAnsi"/>
                <w:b/>
                <w:smallCaps/>
                <w:szCs w:val="20"/>
                <w:lang w:eastAsia="en-US"/>
              </w:rPr>
              <w:t>MAX</w:t>
            </w:r>
          </w:p>
        </w:tc>
        <w:tc>
          <w:tcPr>
            <w:tcW w:w="2552" w:type="dxa"/>
            <w:gridSpan w:val="2"/>
            <w:tcBorders>
              <w:bottom w:val="single" w:sz="4" w:space="0" w:color="000000"/>
            </w:tcBorders>
            <w:shd w:val="clear" w:color="auto" w:fill="D9D9D9"/>
            <w:vAlign w:val="center"/>
          </w:tcPr>
          <w:p w14:paraId="7845C1EA" w14:textId="77777777" w:rsidR="00A04DAF" w:rsidRPr="00A04DAF" w:rsidRDefault="00A04DAF" w:rsidP="00A04DAF">
            <w:pPr>
              <w:spacing w:before="120" w:after="120" w:line="259" w:lineRule="auto"/>
              <w:contextualSpacing/>
              <w:jc w:val="center"/>
              <w:rPr>
                <w:rFonts w:ascii="Calibri" w:eastAsia="Gothic A1" w:hAnsi="Calibri" w:cstheme="minorHAnsi"/>
                <w:b/>
                <w:smallCaps/>
                <w:szCs w:val="20"/>
                <w:lang w:eastAsia="en-US"/>
              </w:rPr>
            </w:pPr>
            <w:r w:rsidRPr="00A04DAF">
              <w:rPr>
                <w:rFonts w:ascii="Calibri" w:eastAsia="Gothic A1" w:hAnsi="Calibri" w:cstheme="minorHAnsi"/>
                <w:b/>
                <w:smallCaps/>
                <w:szCs w:val="20"/>
                <w:lang w:eastAsia="en-US"/>
              </w:rPr>
              <w:t>Sub-criteri di valutazione</w:t>
            </w:r>
          </w:p>
        </w:tc>
        <w:tc>
          <w:tcPr>
            <w:tcW w:w="1275" w:type="dxa"/>
            <w:tcBorders>
              <w:bottom w:val="single" w:sz="4" w:space="0" w:color="000000"/>
            </w:tcBorders>
            <w:shd w:val="clear" w:color="auto" w:fill="D9D9D9"/>
            <w:vAlign w:val="center"/>
          </w:tcPr>
          <w:p w14:paraId="272D2EBD" w14:textId="77777777" w:rsidR="00A04DAF" w:rsidRPr="00A04DAF" w:rsidRDefault="00A04DAF" w:rsidP="00A04DAF">
            <w:pPr>
              <w:spacing w:before="120" w:after="120" w:line="259" w:lineRule="auto"/>
              <w:contextualSpacing/>
              <w:jc w:val="center"/>
              <w:rPr>
                <w:rFonts w:ascii="Calibri" w:eastAsia="Gothic A1" w:hAnsi="Calibri" w:cstheme="minorHAnsi"/>
                <w:b/>
                <w:smallCaps/>
                <w:szCs w:val="20"/>
                <w:lang w:eastAsia="en-US"/>
              </w:rPr>
            </w:pPr>
            <w:r w:rsidRPr="00A04DAF">
              <w:rPr>
                <w:rFonts w:ascii="Calibri" w:eastAsia="Gothic A1" w:hAnsi="Calibri" w:cstheme="minorHAnsi"/>
                <w:b/>
                <w:smallCaps/>
                <w:szCs w:val="20"/>
                <w:lang w:eastAsia="en-US"/>
              </w:rPr>
              <w:t>Punti T</w:t>
            </w:r>
          </w:p>
        </w:tc>
        <w:tc>
          <w:tcPr>
            <w:tcW w:w="1661" w:type="dxa"/>
            <w:tcBorders>
              <w:bottom w:val="single" w:sz="4" w:space="0" w:color="000000"/>
            </w:tcBorders>
            <w:shd w:val="clear" w:color="auto" w:fill="D9D9D9"/>
            <w:vAlign w:val="center"/>
          </w:tcPr>
          <w:p w14:paraId="0B66BE8A" w14:textId="13CCFF10" w:rsidR="00A04DAF" w:rsidRPr="00A04DAF" w:rsidRDefault="009332ED" w:rsidP="00A04DAF">
            <w:pPr>
              <w:spacing w:before="120" w:after="120" w:line="259" w:lineRule="auto"/>
              <w:contextualSpacing/>
              <w:jc w:val="center"/>
              <w:rPr>
                <w:rFonts w:ascii="Calibri" w:eastAsia="Gothic A1" w:hAnsi="Calibri" w:cstheme="minorHAnsi"/>
                <w:b/>
                <w:smallCaps/>
                <w:szCs w:val="20"/>
                <w:lang w:eastAsia="en-US"/>
              </w:rPr>
            </w:pPr>
            <w:r w:rsidRPr="009332ED">
              <w:rPr>
                <w:rFonts w:ascii="Calibri" w:eastAsia="Gothic A1" w:hAnsi="Calibri" w:cstheme="minorHAnsi"/>
                <w:b/>
                <w:bCs/>
                <w:smallCaps/>
                <w:szCs w:val="20"/>
                <w:lang w:eastAsia="en-US"/>
              </w:rPr>
              <w:t>nota: indicare con una ‘x’ l’opzione che si intende offrire</w:t>
            </w:r>
          </w:p>
        </w:tc>
      </w:tr>
      <w:tr w:rsidR="00A04DAF" w:rsidRPr="00A04DAF" w14:paraId="64C4844F" w14:textId="77777777" w:rsidTr="00193B53">
        <w:trPr>
          <w:trHeight w:val="423"/>
          <w:jc w:val="right"/>
        </w:trPr>
        <w:tc>
          <w:tcPr>
            <w:tcW w:w="403" w:type="dxa"/>
            <w:vMerge w:val="restart"/>
            <w:tcBorders>
              <w:top w:val="single" w:sz="4" w:space="0" w:color="000000"/>
            </w:tcBorders>
            <w:shd w:val="clear" w:color="auto" w:fill="auto"/>
            <w:vAlign w:val="center"/>
          </w:tcPr>
          <w:p w14:paraId="3133C964" w14:textId="277412DD" w:rsidR="00A04DAF" w:rsidRPr="00A04DAF" w:rsidRDefault="00BA1015" w:rsidP="00193B53">
            <w:pPr>
              <w:spacing w:before="120" w:after="120"/>
              <w:contextualSpacing/>
              <w:jc w:val="center"/>
              <w:rPr>
                <w:rFonts w:ascii="Calibri" w:eastAsia="Gothic A1" w:hAnsi="Calibri" w:cstheme="minorHAnsi"/>
                <w:smallCaps/>
                <w:szCs w:val="20"/>
                <w:lang w:eastAsia="en-US"/>
              </w:rPr>
            </w:pPr>
            <w:sdt>
              <w:sdtPr>
                <w:rPr>
                  <w:rFonts w:ascii="Calibri" w:hAnsi="Calibri" w:cstheme="minorHAnsi"/>
                  <w:smallCaps/>
                  <w:szCs w:val="20"/>
                  <w:lang w:eastAsia="en-US"/>
                </w:rPr>
                <w:tag w:val="goog_rdk_14"/>
                <w:id w:val="1591736313"/>
                <w:placeholder>
                  <w:docPart w:val="CA66D5A4A5AC4A979CB29D9ECEDF6859"/>
                </w:placeholder>
              </w:sdtPr>
              <w:sdtEndPr/>
              <w:sdtContent>
                <w:r w:rsidR="00A04DAF" w:rsidRPr="00A04DAF">
                  <w:rPr>
                    <w:rFonts w:ascii="Calibri" w:eastAsia="Gothic A1" w:hAnsi="Calibri" w:cstheme="minorHAnsi"/>
                    <w:smallCaps/>
                    <w:szCs w:val="20"/>
                    <w:lang w:eastAsia="en-US"/>
                  </w:rPr>
                  <w:t>2</w:t>
                </w:r>
              </w:sdtContent>
            </w:sdt>
            <w:sdt>
              <w:sdtPr>
                <w:rPr>
                  <w:rFonts w:ascii="Calibri" w:hAnsi="Calibri" w:cstheme="minorHAnsi"/>
                  <w:smallCaps/>
                  <w:szCs w:val="20"/>
                  <w:lang w:eastAsia="en-US"/>
                </w:rPr>
                <w:tag w:val="goog_rdk_15"/>
                <w:id w:val="706605001"/>
                <w:placeholder>
                  <w:docPart w:val="CA66D5A4A5AC4A979CB29D9ECEDF6859"/>
                </w:placeholder>
                <w:showingPlcHdr/>
              </w:sdtPr>
              <w:sdtEndPr/>
              <w:sdtContent/>
            </w:sdt>
          </w:p>
        </w:tc>
        <w:tc>
          <w:tcPr>
            <w:tcW w:w="2786" w:type="dxa"/>
            <w:vMerge w:val="restart"/>
            <w:tcBorders>
              <w:top w:val="single" w:sz="4" w:space="0" w:color="000000"/>
            </w:tcBorders>
            <w:shd w:val="clear" w:color="auto" w:fill="auto"/>
            <w:vAlign w:val="center"/>
          </w:tcPr>
          <w:p w14:paraId="2AC1C271" w14:textId="77777777" w:rsidR="00A04DAF" w:rsidRPr="00A04DAF" w:rsidRDefault="00A04DAF" w:rsidP="00A04DAF">
            <w:pPr>
              <w:pBdr>
                <w:top w:val="nil"/>
                <w:left w:val="nil"/>
                <w:bottom w:val="nil"/>
                <w:right w:val="nil"/>
                <w:between w:val="nil"/>
              </w:pBdr>
              <w:spacing w:before="120" w:after="120" w:line="259" w:lineRule="auto"/>
              <w:contextualSpacing/>
              <w:rPr>
                <w:rFonts w:ascii="Calibri" w:hAnsi="Calibri" w:cstheme="minorHAnsi"/>
                <w:smallCaps/>
                <w:szCs w:val="20"/>
                <w:lang w:eastAsia="en-US"/>
              </w:rPr>
            </w:pPr>
            <w:r w:rsidRPr="00A04DAF">
              <w:rPr>
                <w:rFonts w:ascii="Calibri" w:hAnsi="Calibri" w:cstheme="minorHAnsi"/>
                <w:bCs/>
                <w:smallCaps/>
                <w:szCs w:val="20"/>
                <w:lang w:eastAsia="en-US"/>
              </w:rPr>
              <w:t>Profilatori acustici Doppler ADCP:</w:t>
            </w:r>
          </w:p>
          <w:p w14:paraId="664D3CF8" w14:textId="77777777" w:rsidR="00A04DAF" w:rsidRPr="00A04DAF" w:rsidRDefault="00A04DAF" w:rsidP="00A04DAF">
            <w:pPr>
              <w:pBdr>
                <w:top w:val="nil"/>
                <w:left w:val="nil"/>
                <w:bottom w:val="nil"/>
                <w:right w:val="nil"/>
                <w:between w:val="nil"/>
              </w:pBdr>
              <w:spacing w:before="120" w:after="120" w:line="259" w:lineRule="auto"/>
              <w:contextualSpacing/>
              <w:rPr>
                <w:rFonts w:ascii="Calibri" w:hAnsi="Calibri" w:cstheme="minorHAnsi"/>
                <w:bCs/>
                <w:smallCaps/>
                <w:szCs w:val="20"/>
                <w:lang w:eastAsia="en-US"/>
              </w:rPr>
            </w:pPr>
            <w:r w:rsidRPr="00A04DAF">
              <w:rPr>
                <w:rFonts w:ascii="Calibri" w:hAnsi="Calibri" w:cstheme="minorHAnsi"/>
                <w:smallCaps/>
                <w:szCs w:val="20"/>
                <w:lang w:eastAsia="en-US"/>
              </w:rPr>
              <w:t>memoria interna</w:t>
            </w:r>
          </w:p>
        </w:tc>
        <w:tc>
          <w:tcPr>
            <w:tcW w:w="917" w:type="dxa"/>
            <w:vMerge w:val="restart"/>
            <w:tcBorders>
              <w:top w:val="single" w:sz="4" w:space="0" w:color="000000"/>
            </w:tcBorders>
            <w:shd w:val="clear" w:color="auto" w:fill="auto"/>
            <w:vAlign w:val="center"/>
          </w:tcPr>
          <w:p w14:paraId="3C28E0B8" w14:textId="77777777" w:rsidR="00A04DAF" w:rsidRPr="00A04DAF" w:rsidRDefault="00A04DAF" w:rsidP="00A04DAF">
            <w:pPr>
              <w:pBdr>
                <w:top w:val="nil"/>
                <w:left w:val="nil"/>
                <w:bottom w:val="nil"/>
                <w:right w:val="nil"/>
                <w:between w:val="nil"/>
              </w:pBdr>
              <w:spacing w:after="160" w:line="259" w:lineRule="auto"/>
              <w:ind w:right="33"/>
              <w:contextualSpacing/>
              <w:jc w:val="center"/>
              <w:rPr>
                <w:rFonts w:ascii="Calibri" w:eastAsia="Gothic A1" w:hAnsi="Calibri" w:cstheme="minorHAnsi"/>
                <w:bCs/>
                <w:smallCaps/>
                <w:szCs w:val="20"/>
                <w:lang w:eastAsia="en-US"/>
              </w:rPr>
            </w:pPr>
            <w:r w:rsidRPr="00A04DAF">
              <w:rPr>
                <w:rFonts w:ascii="Calibri" w:eastAsia="Gothic A1" w:hAnsi="Calibri" w:cstheme="minorHAnsi"/>
                <w:bCs/>
                <w:smallCaps/>
                <w:szCs w:val="20"/>
                <w:lang w:eastAsia="en-US"/>
              </w:rPr>
              <w:t>20</w:t>
            </w:r>
          </w:p>
        </w:tc>
        <w:tc>
          <w:tcPr>
            <w:tcW w:w="737" w:type="dxa"/>
            <w:tcBorders>
              <w:top w:val="single" w:sz="4" w:space="0" w:color="000000"/>
            </w:tcBorders>
            <w:shd w:val="clear" w:color="auto" w:fill="auto"/>
            <w:vAlign w:val="center"/>
          </w:tcPr>
          <w:p w14:paraId="0741B888" w14:textId="77777777" w:rsidR="00A04DAF" w:rsidRPr="00A04DAF" w:rsidRDefault="00A04DAF" w:rsidP="00A04DAF">
            <w:pPr>
              <w:spacing w:before="120" w:after="120" w:line="259" w:lineRule="auto"/>
              <w:ind w:left="-193" w:right="-160"/>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2.1</w:t>
            </w:r>
          </w:p>
        </w:tc>
        <w:tc>
          <w:tcPr>
            <w:tcW w:w="1815" w:type="dxa"/>
            <w:tcBorders>
              <w:top w:val="single" w:sz="4" w:space="0" w:color="000000"/>
            </w:tcBorders>
            <w:shd w:val="clear" w:color="auto" w:fill="auto"/>
            <w:vAlign w:val="center"/>
          </w:tcPr>
          <w:p w14:paraId="7F50EA08" w14:textId="77777777" w:rsidR="00A04DAF" w:rsidRPr="00A04DAF" w:rsidRDefault="00A04DAF" w:rsidP="00A04DAF">
            <w:pPr>
              <w:spacing w:before="120" w:after="120" w:line="259" w:lineRule="auto"/>
              <w:contextualSpacing/>
              <w:jc w:val="center"/>
              <w:rPr>
                <w:rFonts w:ascii="Calibri" w:hAnsi="Calibri" w:cstheme="minorHAnsi"/>
                <w:smallCaps/>
                <w:szCs w:val="20"/>
                <w:highlight w:val="yellow"/>
                <w:lang w:eastAsia="en-US"/>
              </w:rPr>
            </w:pPr>
            <w:r w:rsidRPr="00A04DAF">
              <w:rPr>
                <w:rFonts w:ascii="Calibri" w:hAnsi="Calibri" w:cstheme="minorHAnsi"/>
                <w:smallCaps/>
                <w:szCs w:val="20"/>
                <w:lang w:eastAsia="en-US"/>
              </w:rPr>
              <w:t>≥16 GB</w:t>
            </w:r>
          </w:p>
        </w:tc>
        <w:tc>
          <w:tcPr>
            <w:tcW w:w="1275" w:type="dxa"/>
            <w:tcBorders>
              <w:top w:val="single" w:sz="4" w:space="0" w:color="000000"/>
            </w:tcBorders>
            <w:shd w:val="clear" w:color="auto" w:fill="auto"/>
            <w:vAlign w:val="center"/>
          </w:tcPr>
          <w:p w14:paraId="5E2F30B0" w14:textId="77777777" w:rsidR="00A04DAF" w:rsidRPr="00A04DAF" w:rsidRDefault="00A04DAF" w:rsidP="00A04DAF">
            <w:pPr>
              <w:spacing w:after="160" w:line="259" w:lineRule="auto"/>
              <w:contextualSpacing/>
              <w:jc w:val="center"/>
              <w:rPr>
                <w:rFonts w:ascii="Calibri" w:hAnsi="Calibri" w:cstheme="minorHAnsi"/>
                <w:smallCaps/>
                <w:szCs w:val="20"/>
                <w:lang w:eastAsia="en-US"/>
              </w:rPr>
            </w:pPr>
            <w:r w:rsidRPr="00A04DAF">
              <w:rPr>
                <w:rFonts w:ascii="Calibri" w:hAnsi="Calibri" w:cstheme="minorHAnsi"/>
                <w:smallCaps/>
                <w:szCs w:val="20"/>
                <w:lang w:eastAsia="en-US"/>
              </w:rPr>
              <w:t>20</w:t>
            </w:r>
          </w:p>
        </w:tc>
        <w:tc>
          <w:tcPr>
            <w:tcW w:w="1661" w:type="dxa"/>
            <w:tcBorders>
              <w:top w:val="single" w:sz="4" w:space="0" w:color="000000"/>
            </w:tcBorders>
            <w:shd w:val="clear" w:color="auto" w:fill="auto"/>
            <w:vAlign w:val="center"/>
          </w:tcPr>
          <w:p w14:paraId="536BAC79" w14:textId="77777777" w:rsidR="00A04DAF" w:rsidRPr="00A04DAF" w:rsidRDefault="00A04DAF" w:rsidP="00A04DAF">
            <w:pPr>
              <w:spacing w:after="160" w:line="259" w:lineRule="auto"/>
              <w:contextualSpacing/>
              <w:jc w:val="center"/>
              <w:rPr>
                <w:rFonts w:ascii="Calibri" w:hAnsi="Calibri" w:cstheme="minorHAnsi"/>
                <w:smallCaps/>
                <w:szCs w:val="20"/>
                <w:lang w:eastAsia="en-US"/>
              </w:rPr>
            </w:pPr>
          </w:p>
        </w:tc>
      </w:tr>
      <w:tr w:rsidR="00A04DAF" w:rsidRPr="00A04DAF" w14:paraId="513423F5" w14:textId="77777777" w:rsidTr="009332ED">
        <w:trPr>
          <w:jc w:val="right"/>
        </w:trPr>
        <w:tc>
          <w:tcPr>
            <w:tcW w:w="403" w:type="dxa"/>
            <w:vMerge/>
          </w:tcPr>
          <w:p w14:paraId="6214A92F"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2786" w:type="dxa"/>
            <w:vMerge/>
          </w:tcPr>
          <w:p w14:paraId="4DAB4BC9"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917" w:type="dxa"/>
            <w:vMerge/>
          </w:tcPr>
          <w:p w14:paraId="3F874472"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737" w:type="dxa"/>
            <w:tcBorders>
              <w:top w:val="single" w:sz="4" w:space="0" w:color="000000"/>
            </w:tcBorders>
            <w:shd w:val="clear" w:color="auto" w:fill="auto"/>
            <w:vAlign w:val="center"/>
          </w:tcPr>
          <w:p w14:paraId="4359AEDE" w14:textId="77777777" w:rsidR="00A04DAF" w:rsidRPr="00A04DAF" w:rsidRDefault="00A04DAF" w:rsidP="00A04DAF">
            <w:pPr>
              <w:spacing w:after="16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2.2</w:t>
            </w:r>
          </w:p>
        </w:tc>
        <w:tc>
          <w:tcPr>
            <w:tcW w:w="1815" w:type="dxa"/>
            <w:tcBorders>
              <w:top w:val="single" w:sz="4" w:space="0" w:color="000000"/>
            </w:tcBorders>
            <w:shd w:val="clear" w:color="auto" w:fill="auto"/>
            <w:vAlign w:val="center"/>
          </w:tcPr>
          <w:p w14:paraId="6296523D" w14:textId="77777777" w:rsidR="00A04DAF" w:rsidRPr="00A04DAF" w:rsidRDefault="00A04DAF" w:rsidP="00A04DAF">
            <w:pPr>
              <w:spacing w:before="120" w:after="120" w:line="259" w:lineRule="auto"/>
              <w:contextualSpacing/>
              <w:jc w:val="center"/>
              <w:rPr>
                <w:rFonts w:ascii="Calibri" w:hAnsi="Calibri" w:cstheme="minorHAnsi"/>
                <w:smallCaps/>
                <w:szCs w:val="20"/>
                <w:lang w:eastAsia="en-US"/>
              </w:rPr>
            </w:pPr>
            <w:r w:rsidRPr="00A04DAF">
              <w:rPr>
                <w:rFonts w:ascii="Calibri" w:hAnsi="Calibri" w:cstheme="minorHAnsi"/>
                <w:smallCaps/>
                <w:szCs w:val="20"/>
                <w:lang w:eastAsia="en-US"/>
              </w:rPr>
              <w:t>&lt;16 GB</w:t>
            </w:r>
          </w:p>
        </w:tc>
        <w:tc>
          <w:tcPr>
            <w:tcW w:w="1275" w:type="dxa"/>
            <w:shd w:val="clear" w:color="auto" w:fill="auto"/>
            <w:vAlign w:val="center"/>
          </w:tcPr>
          <w:p w14:paraId="3BDDD4F6" w14:textId="77777777" w:rsidR="00A04DAF" w:rsidRPr="00A04DAF" w:rsidRDefault="00A04DAF" w:rsidP="00A04DAF">
            <w:pPr>
              <w:spacing w:before="120" w:after="120" w:line="259" w:lineRule="auto"/>
              <w:ind w:left="-193" w:right="-160"/>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10</w:t>
            </w:r>
          </w:p>
        </w:tc>
        <w:tc>
          <w:tcPr>
            <w:tcW w:w="1661" w:type="dxa"/>
            <w:shd w:val="clear" w:color="auto" w:fill="auto"/>
            <w:vAlign w:val="center"/>
          </w:tcPr>
          <w:p w14:paraId="483FC34C" w14:textId="77777777" w:rsidR="00A04DAF" w:rsidRPr="00A04DAF" w:rsidRDefault="00A04DAF" w:rsidP="00A04DAF">
            <w:pPr>
              <w:spacing w:before="120" w:after="120" w:line="259" w:lineRule="auto"/>
              <w:ind w:left="-193" w:right="-160"/>
              <w:contextualSpacing/>
              <w:jc w:val="center"/>
              <w:rPr>
                <w:rFonts w:ascii="Calibri" w:eastAsia="Gothic A1" w:hAnsi="Calibri" w:cstheme="minorHAnsi"/>
                <w:smallCaps/>
                <w:szCs w:val="20"/>
                <w:lang w:eastAsia="en-US"/>
              </w:rPr>
            </w:pPr>
          </w:p>
        </w:tc>
      </w:tr>
      <w:tr w:rsidR="00A04DAF" w:rsidRPr="00A04DAF" w14:paraId="119BEF64" w14:textId="77777777" w:rsidTr="00193B53">
        <w:trPr>
          <w:trHeight w:val="491"/>
          <w:jc w:val="right"/>
        </w:trPr>
        <w:tc>
          <w:tcPr>
            <w:tcW w:w="403" w:type="dxa"/>
            <w:vMerge w:val="restart"/>
            <w:tcBorders>
              <w:top w:val="single" w:sz="4" w:space="0" w:color="000000"/>
              <w:left w:val="single" w:sz="4" w:space="0" w:color="000000"/>
              <w:right w:val="single" w:sz="4" w:space="0" w:color="000000"/>
            </w:tcBorders>
            <w:shd w:val="clear" w:color="auto" w:fill="auto"/>
            <w:vAlign w:val="center"/>
          </w:tcPr>
          <w:p w14:paraId="585456AD"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 xml:space="preserve">3 </w:t>
            </w:r>
          </w:p>
        </w:tc>
        <w:tc>
          <w:tcPr>
            <w:tcW w:w="2786" w:type="dxa"/>
            <w:vMerge w:val="restart"/>
            <w:tcBorders>
              <w:top w:val="single" w:sz="4" w:space="0" w:color="000000"/>
              <w:left w:val="single" w:sz="4" w:space="0" w:color="000000"/>
              <w:right w:val="single" w:sz="4" w:space="0" w:color="000000"/>
            </w:tcBorders>
            <w:shd w:val="clear" w:color="auto" w:fill="auto"/>
            <w:vAlign w:val="center"/>
          </w:tcPr>
          <w:p w14:paraId="368E2189" w14:textId="77777777" w:rsidR="00A04DAF" w:rsidRPr="00A04DAF" w:rsidRDefault="00A04DAF" w:rsidP="00A04DAF">
            <w:pPr>
              <w:pBdr>
                <w:top w:val="nil"/>
                <w:left w:val="nil"/>
                <w:bottom w:val="nil"/>
                <w:right w:val="nil"/>
                <w:between w:val="nil"/>
              </w:pBdr>
              <w:spacing w:before="120" w:after="120" w:line="259" w:lineRule="auto"/>
              <w:contextualSpacing/>
              <w:rPr>
                <w:rFonts w:ascii="Calibri" w:hAnsi="Calibri" w:cstheme="minorHAnsi"/>
                <w:smallCaps/>
                <w:szCs w:val="20"/>
                <w:lang w:eastAsia="en-US"/>
              </w:rPr>
            </w:pPr>
            <w:r w:rsidRPr="00A04DAF">
              <w:rPr>
                <w:rFonts w:ascii="Calibri" w:hAnsi="Calibri" w:cstheme="minorHAnsi"/>
                <w:smallCaps/>
                <w:szCs w:val="20"/>
                <w:lang w:eastAsia="en-US"/>
              </w:rPr>
              <w:t>P</w:t>
            </w:r>
            <w:r w:rsidRPr="00A04DAF">
              <w:rPr>
                <w:rFonts w:ascii="Calibri" w:hAnsi="Calibri" w:cstheme="minorHAnsi"/>
                <w:bCs/>
                <w:smallCaps/>
                <w:szCs w:val="20"/>
                <w:lang w:eastAsia="en-US"/>
              </w:rPr>
              <w:t>rofilatori acustici Doppler ADCP:</w:t>
            </w:r>
          </w:p>
          <w:p w14:paraId="05A953D3" w14:textId="77777777" w:rsidR="00A04DAF" w:rsidRPr="00A04DAF" w:rsidRDefault="00A04DAF" w:rsidP="00A04DAF">
            <w:pPr>
              <w:spacing w:before="120" w:after="120" w:line="259" w:lineRule="auto"/>
              <w:contextualSpacing/>
              <w:rPr>
                <w:rFonts w:ascii="Calibri" w:eastAsia="Gothic A1" w:hAnsi="Calibri" w:cstheme="minorHAnsi"/>
                <w:bCs/>
                <w:smallCaps/>
                <w:szCs w:val="20"/>
                <w:lang w:eastAsia="en-US"/>
              </w:rPr>
            </w:pPr>
            <w:r w:rsidRPr="00A04DAF">
              <w:rPr>
                <w:rFonts w:ascii="Calibri" w:hAnsi="Calibri" w:cstheme="minorHAnsi"/>
                <w:smallCaps/>
                <w:szCs w:val="20"/>
                <w:lang w:eastAsia="en-US"/>
              </w:rPr>
              <w:t>precisione sensore di temperatura</w:t>
            </w:r>
          </w:p>
        </w:tc>
        <w:tc>
          <w:tcPr>
            <w:tcW w:w="917" w:type="dxa"/>
            <w:vMerge w:val="restart"/>
            <w:tcBorders>
              <w:top w:val="single" w:sz="4" w:space="0" w:color="000000"/>
              <w:left w:val="single" w:sz="4" w:space="0" w:color="000000"/>
              <w:right w:val="single" w:sz="4" w:space="0" w:color="000000"/>
            </w:tcBorders>
            <w:shd w:val="clear" w:color="auto" w:fill="auto"/>
            <w:vAlign w:val="center"/>
          </w:tcPr>
          <w:p w14:paraId="4C016AF7" w14:textId="77777777" w:rsidR="00A04DAF" w:rsidRPr="00A04DAF" w:rsidRDefault="00A04DAF" w:rsidP="00A04DAF">
            <w:pPr>
              <w:spacing w:before="120" w:after="120" w:line="259" w:lineRule="auto"/>
              <w:contextualSpacing/>
              <w:jc w:val="center"/>
              <w:rPr>
                <w:rFonts w:ascii="Calibri" w:eastAsia="Gothic A1" w:hAnsi="Calibri" w:cstheme="minorHAnsi"/>
                <w:bCs/>
                <w:smallCaps/>
                <w:szCs w:val="20"/>
                <w:lang w:eastAsia="en-US"/>
              </w:rPr>
            </w:pPr>
            <w:r w:rsidRPr="00A04DAF">
              <w:rPr>
                <w:rFonts w:ascii="Calibri" w:eastAsia="Gothic A1" w:hAnsi="Calibri" w:cstheme="minorHAnsi"/>
                <w:bCs/>
                <w:smallCaps/>
                <w:szCs w:val="20"/>
                <w:lang w:eastAsia="en-US"/>
              </w:rPr>
              <w:t>10</w:t>
            </w:r>
          </w:p>
        </w:tc>
        <w:tc>
          <w:tcPr>
            <w:tcW w:w="737" w:type="dxa"/>
            <w:tcBorders>
              <w:top w:val="single" w:sz="4" w:space="0" w:color="000000"/>
              <w:left w:val="single" w:sz="4" w:space="0" w:color="000000"/>
              <w:bottom w:val="nil"/>
              <w:right w:val="single" w:sz="4" w:space="0" w:color="000000"/>
            </w:tcBorders>
            <w:shd w:val="clear" w:color="auto" w:fill="auto"/>
            <w:vAlign w:val="center"/>
          </w:tcPr>
          <w:p w14:paraId="6D71711A"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3.1</w:t>
            </w:r>
          </w:p>
        </w:tc>
        <w:tc>
          <w:tcPr>
            <w:tcW w:w="1815" w:type="dxa"/>
            <w:tcBorders>
              <w:top w:val="single" w:sz="4" w:space="0" w:color="000000"/>
              <w:left w:val="single" w:sz="4" w:space="0" w:color="000000"/>
              <w:bottom w:val="nil"/>
              <w:right w:val="single" w:sz="4" w:space="0" w:color="000000"/>
            </w:tcBorders>
            <w:shd w:val="clear" w:color="auto" w:fill="auto"/>
            <w:vAlign w:val="center"/>
          </w:tcPr>
          <w:p w14:paraId="340CD773" w14:textId="77777777" w:rsidR="00A04DAF" w:rsidRPr="00A04DAF" w:rsidRDefault="00A04DAF" w:rsidP="00A04DAF">
            <w:pPr>
              <w:spacing w:before="120" w:after="120" w:line="259" w:lineRule="auto"/>
              <w:contextualSpacing/>
              <w:jc w:val="center"/>
              <w:rPr>
                <w:rFonts w:ascii="Calibri" w:hAnsi="Calibri" w:cstheme="minorHAnsi"/>
                <w:smallCaps/>
                <w:szCs w:val="20"/>
                <w:lang w:eastAsia="en-US"/>
              </w:rPr>
            </w:pPr>
            <w:r w:rsidRPr="00A04DAF">
              <w:rPr>
                <w:rFonts w:ascii="Calibri" w:hAnsi="Calibri" w:cstheme="minorHAnsi"/>
                <w:smallCaps/>
                <w:szCs w:val="20"/>
                <w:lang w:eastAsia="en-US"/>
              </w:rPr>
              <w:t>≤0.4°C</w:t>
            </w:r>
          </w:p>
        </w:tc>
        <w:tc>
          <w:tcPr>
            <w:tcW w:w="1275" w:type="dxa"/>
            <w:tcBorders>
              <w:top w:val="single" w:sz="4" w:space="0" w:color="000000"/>
              <w:left w:val="single" w:sz="4" w:space="0" w:color="000000"/>
              <w:bottom w:val="nil"/>
              <w:right w:val="single" w:sz="4" w:space="0" w:color="000000"/>
            </w:tcBorders>
            <w:shd w:val="clear" w:color="auto" w:fill="auto"/>
            <w:vAlign w:val="center"/>
          </w:tcPr>
          <w:p w14:paraId="6BB22AEB"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10</w:t>
            </w:r>
          </w:p>
        </w:tc>
        <w:tc>
          <w:tcPr>
            <w:tcW w:w="1661" w:type="dxa"/>
            <w:tcBorders>
              <w:top w:val="single" w:sz="4" w:space="0" w:color="000000"/>
              <w:left w:val="single" w:sz="4" w:space="0" w:color="000000"/>
              <w:bottom w:val="nil"/>
              <w:right w:val="single" w:sz="4" w:space="0" w:color="000000"/>
            </w:tcBorders>
            <w:shd w:val="clear" w:color="auto" w:fill="auto"/>
            <w:vAlign w:val="center"/>
          </w:tcPr>
          <w:p w14:paraId="2D2578E7"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r>
      <w:tr w:rsidR="00A04DAF" w:rsidRPr="00A04DAF" w14:paraId="0A2A94C6" w14:textId="77777777" w:rsidTr="009332ED">
        <w:trPr>
          <w:jc w:val="right"/>
        </w:trPr>
        <w:tc>
          <w:tcPr>
            <w:tcW w:w="403" w:type="dxa"/>
            <w:vMerge/>
          </w:tcPr>
          <w:p w14:paraId="263B8F05"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2786" w:type="dxa"/>
            <w:vMerge/>
          </w:tcPr>
          <w:p w14:paraId="55EA756D"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917" w:type="dxa"/>
            <w:vMerge/>
          </w:tcPr>
          <w:p w14:paraId="1EA7C2CC"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737" w:type="dxa"/>
            <w:tcBorders>
              <w:top w:val="single" w:sz="4" w:space="0" w:color="000000"/>
              <w:left w:val="single" w:sz="4" w:space="0" w:color="000000"/>
              <w:bottom w:val="nil"/>
              <w:right w:val="single" w:sz="4" w:space="0" w:color="000000"/>
            </w:tcBorders>
            <w:shd w:val="clear" w:color="auto" w:fill="auto"/>
            <w:vAlign w:val="center"/>
          </w:tcPr>
          <w:p w14:paraId="24E8CAAD"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3.2</w:t>
            </w:r>
          </w:p>
        </w:tc>
        <w:tc>
          <w:tcPr>
            <w:tcW w:w="1815" w:type="dxa"/>
            <w:tcBorders>
              <w:top w:val="single" w:sz="4" w:space="0" w:color="000000"/>
              <w:left w:val="single" w:sz="4" w:space="0" w:color="000000"/>
              <w:bottom w:val="nil"/>
              <w:right w:val="single" w:sz="4" w:space="0" w:color="000000"/>
            </w:tcBorders>
            <w:shd w:val="clear" w:color="auto" w:fill="auto"/>
            <w:vAlign w:val="center"/>
          </w:tcPr>
          <w:p w14:paraId="11B41C07" w14:textId="77777777" w:rsidR="00A04DAF" w:rsidRPr="00A04DAF" w:rsidRDefault="00A04DAF" w:rsidP="00A04DAF">
            <w:pPr>
              <w:spacing w:before="120" w:after="120" w:line="259" w:lineRule="auto"/>
              <w:contextualSpacing/>
              <w:jc w:val="center"/>
              <w:rPr>
                <w:rFonts w:ascii="Calibri" w:hAnsi="Calibri" w:cstheme="minorHAnsi"/>
                <w:smallCaps/>
                <w:szCs w:val="20"/>
                <w:lang w:eastAsia="en-US"/>
              </w:rPr>
            </w:pPr>
            <w:r w:rsidRPr="00A04DAF">
              <w:rPr>
                <w:rFonts w:ascii="Calibri" w:hAnsi="Calibri" w:cstheme="minorHAnsi"/>
                <w:smallCaps/>
                <w:szCs w:val="20"/>
                <w:lang w:eastAsia="en-US"/>
              </w:rPr>
              <w:t>&gt;0.4°C</w:t>
            </w:r>
          </w:p>
        </w:tc>
        <w:tc>
          <w:tcPr>
            <w:tcW w:w="1275" w:type="dxa"/>
            <w:tcBorders>
              <w:top w:val="single" w:sz="4" w:space="0" w:color="000000"/>
              <w:left w:val="single" w:sz="4" w:space="0" w:color="000000"/>
              <w:bottom w:val="nil"/>
              <w:right w:val="single" w:sz="4" w:space="0" w:color="000000"/>
            </w:tcBorders>
            <w:shd w:val="clear" w:color="auto" w:fill="auto"/>
            <w:vAlign w:val="center"/>
          </w:tcPr>
          <w:p w14:paraId="45A3EF77"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5</w:t>
            </w:r>
          </w:p>
        </w:tc>
        <w:tc>
          <w:tcPr>
            <w:tcW w:w="1661" w:type="dxa"/>
            <w:tcBorders>
              <w:top w:val="single" w:sz="4" w:space="0" w:color="000000"/>
              <w:left w:val="single" w:sz="4" w:space="0" w:color="000000"/>
              <w:bottom w:val="nil"/>
              <w:right w:val="single" w:sz="4" w:space="0" w:color="000000"/>
            </w:tcBorders>
            <w:shd w:val="clear" w:color="auto" w:fill="auto"/>
            <w:vAlign w:val="center"/>
          </w:tcPr>
          <w:p w14:paraId="3D26878A"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r>
      <w:tr w:rsidR="00A04DAF" w:rsidRPr="00A04DAF" w14:paraId="3380858F" w14:textId="77777777" w:rsidTr="009332ED">
        <w:trPr>
          <w:jc w:val="right"/>
        </w:trPr>
        <w:tc>
          <w:tcPr>
            <w:tcW w:w="403" w:type="dxa"/>
            <w:tcBorders>
              <w:top w:val="single" w:sz="4" w:space="0" w:color="000000"/>
              <w:left w:val="single" w:sz="4" w:space="0" w:color="000000"/>
              <w:bottom w:val="nil"/>
              <w:right w:val="single" w:sz="4" w:space="0" w:color="000000"/>
            </w:tcBorders>
            <w:shd w:val="clear" w:color="auto" w:fill="auto"/>
            <w:vAlign w:val="center"/>
          </w:tcPr>
          <w:p w14:paraId="1E9A2907"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4</w:t>
            </w:r>
          </w:p>
        </w:tc>
        <w:tc>
          <w:tcPr>
            <w:tcW w:w="2786" w:type="dxa"/>
            <w:tcBorders>
              <w:top w:val="single" w:sz="4" w:space="0" w:color="000000"/>
              <w:left w:val="single" w:sz="4" w:space="0" w:color="000000"/>
              <w:bottom w:val="nil"/>
              <w:right w:val="single" w:sz="4" w:space="0" w:color="000000"/>
            </w:tcBorders>
            <w:shd w:val="clear" w:color="auto" w:fill="auto"/>
            <w:vAlign w:val="center"/>
          </w:tcPr>
          <w:p w14:paraId="1B24B4C2" w14:textId="77777777" w:rsidR="00A04DAF" w:rsidRPr="00A04DAF" w:rsidRDefault="00A04DAF" w:rsidP="00A04DAF">
            <w:pPr>
              <w:spacing w:before="120" w:after="120" w:line="259" w:lineRule="auto"/>
              <w:ind w:right="-102"/>
              <w:contextualSpacing/>
              <w:rPr>
                <w:rFonts w:ascii="Calibri" w:hAnsi="Calibri" w:cstheme="minorHAnsi"/>
                <w:smallCaps/>
                <w:szCs w:val="20"/>
                <w:lang w:eastAsia="en-US"/>
              </w:rPr>
            </w:pPr>
            <w:r w:rsidRPr="00A04DAF">
              <w:rPr>
                <w:rFonts w:ascii="Calibri" w:hAnsi="Calibri" w:cstheme="minorHAnsi"/>
                <w:bCs/>
                <w:smallCaps/>
                <w:color w:val="000000"/>
                <w:szCs w:val="20"/>
                <w:lang w:eastAsia="en-US"/>
              </w:rPr>
              <w:t>P</w:t>
            </w:r>
            <w:r w:rsidRPr="00A04DAF">
              <w:rPr>
                <w:rFonts w:ascii="Calibri" w:hAnsi="Calibri" w:cstheme="minorHAnsi"/>
                <w:bCs/>
                <w:smallCaps/>
                <w:szCs w:val="20"/>
                <w:lang w:eastAsia="en-US"/>
              </w:rPr>
              <w:t>rofilatori acustici Doppler ADCP:</w:t>
            </w:r>
          </w:p>
          <w:p w14:paraId="6A372754" w14:textId="77777777" w:rsidR="00A04DAF" w:rsidRPr="00A04DAF" w:rsidRDefault="00A04DAF" w:rsidP="00A04DAF">
            <w:pPr>
              <w:spacing w:before="120" w:after="120" w:line="259" w:lineRule="auto"/>
              <w:contextualSpacing/>
              <w:rPr>
                <w:rFonts w:ascii="Calibri" w:hAnsi="Calibri" w:cstheme="minorHAnsi"/>
                <w:smallCaps/>
                <w:szCs w:val="20"/>
                <w:lang w:eastAsia="en-US"/>
              </w:rPr>
            </w:pPr>
            <w:r w:rsidRPr="00A04DAF">
              <w:rPr>
                <w:rFonts w:ascii="Calibri" w:eastAsia="Gothic A1" w:hAnsi="Calibri" w:cstheme="minorHAnsi"/>
                <w:smallCaps/>
                <w:szCs w:val="20"/>
                <w:lang w:eastAsia="en-US"/>
              </w:rPr>
              <w:t>Fornitura aggiuntiva di cavetto con connettore tipo Teledyne Impulse o equivalente underwater pluggable per ADCP (agevola il lavoro del sub durante le operazioni di manutenzione)</w:t>
            </w:r>
          </w:p>
        </w:tc>
        <w:tc>
          <w:tcPr>
            <w:tcW w:w="917" w:type="dxa"/>
            <w:tcBorders>
              <w:top w:val="single" w:sz="4" w:space="0" w:color="000000"/>
              <w:left w:val="single" w:sz="4" w:space="0" w:color="000000"/>
              <w:bottom w:val="nil"/>
              <w:right w:val="single" w:sz="4" w:space="0" w:color="000000"/>
            </w:tcBorders>
            <w:shd w:val="clear" w:color="auto" w:fill="auto"/>
            <w:vAlign w:val="center"/>
          </w:tcPr>
          <w:p w14:paraId="60ECABD6" w14:textId="77777777" w:rsidR="00A04DAF" w:rsidRPr="00A04DAF" w:rsidRDefault="00A04DAF" w:rsidP="00A04DAF">
            <w:pPr>
              <w:spacing w:before="120" w:after="120" w:line="259" w:lineRule="auto"/>
              <w:contextualSpacing/>
              <w:jc w:val="center"/>
              <w:rPr>
                <w:rFonts w:ascii="Calibri" w:eastAsia="Gothic A1" w:hAnsi="Calibri" w:cstheme="minorHAnsi"/>
                <w:bCs/>
                <w:smallCaps/>
                <w:szCs w:val="20"/>
                <w:lang w:eastAsia="en-US"/>
              </w:rPr>
            </w:pPr>
            <w:r w:rsidRPr="00A04DAF">
              <w:rPr>
                <w:rFonts w:ascii="Calibri" w:eastAsia="Gothic A1" w:hAnsi="Calibri" w:cstheme="minorHAnsi"/>
                <w:bCs/>
                <w:smallCaps/>
                <w:szCs w:val="20"/>
                <w:lang w:eastAsia="en-US"/>
              </w:rPr>
              <w:t>10</w:t>
            </w:r>
          </w:p>
        </w:tc>
        <w:tc>
          <w:tcPr>
            <w:tcW w:w="737" w:type="dxa"/>
            <w:tcBorders>
              <w:top w:val="single" w:sz="4" w:space="0" w:color="000000"/>
              <w:left w:val="single" w:sz="4" w:space="0" w:color="000000"/>
              <w:bottom w:val="nil"/>
              <w:right w:val="single" w:sz="4" w:space="0" w:color="000000"/>
            </w:tcBorders>
            <w:shd w:val="clear" w:color="auto" w:fill="auto"/>
            <w:vAlign w:val="center"/>
          </w:tcPr>
          <w:p w14:paraId="72892747"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4.1</w:t>
            </w:r>
          </w:p>
        </w:tc>
        <w:tc>
          <w:tcPr>
            <w:tcW w:w="1815" w:type="dxa"/>
            <w:tcBorders>
              <w:top w:val="single" w:sz="4" w:space="0" w:color="000000"/>
              <w:left w:val="single" w:sz="4" w:space="0" w:color="000000"/>
              <w:bottom w:val="nil"/>
              <w:right w:val="single" w:sz="4" w:space="0" w:color="000000"/>
            </w:tcBorders>
            <w:shd w:val="clear" w:color="auto" w:fill="auto"/>
            <w:vAlign w:val="center"/>
          </w:tcPr>
          <w:p w14:paraId="12B4B646" w14:textId="77777777" w:rsidR="00A04DAF" w:rsidRPr="00A04DAF" w:rsidRDefault="00A04DAF" w:rsidP="00A04DAF">
            <w:pPr>
              <w:spacing w:before="120" w:after="120" w:line="259" w:lineRule="auto"/>
              <w:contextualSpacing/>
              <w:jc w:val="center"/>
              <w:rPr>
                <w:rFonts w:ascii="Calibri" w:hAnsi="Calibri" w:cstheme="minorHAnsi"/>
                <w:smallCaps/>
                <w:szCs w:val="20"/>
                <w:lang w:eastAsia="en-US"/>
              </w:rPr>
            </w:pPr>
            <w:r w:rsidRPr="00A04DAF">
              <w:rPr>
                <w:rFonts w:ascii="Calibri" w:hAnsi="Calibri" w:cstheme="minorHAnsi"/>
                <w:smallCaps/>
                <w:szCs w:val="20"/>
                <w:lang w:eastAsia="en-US"/>
              </w:rPr>
              <w:t>Fornito</w:t>
            </w:r>
          </w:p>
        </w:tc>
        <w:tc>
          <w:tcPr>
            <w:tcW w:w="1275" w:type="dxa"/>
            <w:tcBorders>
              <w:top w:val="single" w:sz="4" w:space="0" w:color="000000"/>
              <w:left w:val="single" w:sz="4" w:space="0" w:color="000000"/>
              <w:bottom w:val="nil"/>
              <w:right w:val="single" w:sz="4" w:space="0" w:color="000000"/>
            </w:tcBorders>
            <w:shd w:val="clear" w:color="auto" w:fill="auto"/>
            <w:vAlign w:val="center"/>
          </w:tcPr>
          <w:p w14:paraId="39C14910"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10</w:t>
            </w:r>
          </w:p>
        </w:tc>
        <w:tc>
          <w:tcPr>
            <w:tcW w:w="1661" w:type="dxa"/>
            <w:tcBorders>
              <w:top w:val="single" w:sz="4" w:space="0" w:color="000000"/>
              <w:left w:val="single" w:sz="4" w:space="0" w:color="000000"/>
              <w:bottom w:val="nil"/>
              <w:right w:val="single" w:sz="4" w:space="0" w:color="000000"/>
            </w:tcBorders>
            <w:shd w:val="clear" w:color="auto" w:fill="auto"/>
            <w:vAlign w:val="center"/>
          </w:tcPr>
          <w:p w14:paraId="471CB60A"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r>
      <w:tr w:rsidR="00A04DAF" w:rsidRPr="00A04DAF" w14:paraId="4AF0A176" w14:textId="77777777" w:rsidTr="009332ED">
        <w:trPr>
          <w:jc w:val="right"/>
        </w:trPr>
        <w:tc>
          <w:tcPr>
            <w:tcW w:w="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09650"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5</w:t>
            </w:r>
          </w:p>
        </w:tc>
        <w:tc>
          <w:tcPr>
            <w:tcW w:w="2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37353" w14:textId="77777777" w:rsidR="00A04DAF" w:rsidRPr="00A04DAF" w:rsidRDefault="00A04DAF" w:rsidP="00A04DAF">
            <w:pPr>
              <w:spacing w:before="120" w:after="120" w:line="259" w:lineRule="auto"/>
              <w:contextualSpacing/>
              <w:rPr>
                <w:rFonts w:ascii="Calibri" w:eastAsia="Gothic A1" w:hAnsi="Calibri" w:cstheme="minorHAnsi"/>
                <w:smallCaps/>
                <w:szCs w:val="20"/>
                <w:lang w:eastAsia="en-US"/>
              </w:rPr>
            </w:pPr>
            <w:r w:rsidRPr="00A04DAF">
              <w:rPr>
                <w:rFonts w:ascii="Calibri" w:eastAsia="Gothic A1" w:hAnsi="Calibri" w:cstheme="minorHAnsi"/>
                <w:bCs/>
                <w:smallCaps/>
                <w:szCs w:val="20"/>
                <w:lang w:eastAsia="en-US"/>
              </w:rPr>
              <w:t>Fornitura aggiuntiva di kit di parti necessarie per la manutenzione ordinaria</w:t>
            </w:r>
            <w:r w:rsidRPr="00A04DAF">
              <w:rPr>
                <w:rFonts w:ascii="Calibri" w:eastAsia="Gothic A1" w:hAnsi="Calibri" w:cstheme="minorHAnsi"/>
                <w:smallCaps/>
                <w:szCs w:val="20"/>
                <w:lang w:eastAsia="en-US"/>
              </w:rPr>
              <w:t xml:space="preserve"> per almeno 1 anno di funzionamento</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BFF15" w14:textId="77777777" w:rsidR="00A04DAF" w:rsidRPr="00A04DAF" w:rsidRDefault="00A04DAF" w:rsidP="00A04DAF">
            <w:pPr>
              <w:spacing w:before="120" w:after="120" w:line="259" w:lineRule="auto"/>
              <w:contextualSpacing/>
              <w:jc w:val="center"/>
              <w:rPr>
                <w:rFonts w:ascii="Calibri" w:eastAsia="Gothic A1" w:hAnsi="Calibri" w:cstheme="minorHAnsi"/>
                <w:bCs/>
                <w:smallCaps/>
                <w:szCs w:val="20"/>
                <w:lang w:eastAsia="en-US"/>
              </w:rPr>
            </w:pPr>
            <w:r w:rsidRPr="00A04DAF">
              <w:rPr>
                <w:rFonts w:ascii="Calibri" w:eastAsia="Gothic A1" w:hAnsi="Calibri" w:cstheme="minorHAnsi"/>
                <w:bCs/>
                <w:smallCaps/>
                <w:szCs w:val="20"/>
                <w:lang w:eastAsia="en-US"/>
              </w:rPr>
              <w:t>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5B0DB"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E8E6F"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Fornito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B2019"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5</w:t>
            </w:r>
          </w:p>
        </w:tc>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B4EF2"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r>
      <w:tr w:rsidR="00A04DAF" w:rsidRPr="00A04DAF" w14:paraId="6672A666" w14:textId="77777777" w:rsidTr="009332ED">
        <w:trPr>
          <w:jc w:val="right"/>
        </w:trPr>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6EF5FA"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6</w:t>
            </w:r>
          </w:p>
        </w:tc>
        <w:tc>
          <w:tcPr>
            <w:tcW w:w="27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DF1D96" w14:textId="77777777" w:rsidR="00A04DAF" w:rsidRPr="00A04DAF" w:rsidRDefault="00A04DAF" w:rsidP="00A04DAF">
            <w:pPr>
              <w:spacing w:before="120" w:after="120" w:line="259" w:lineRule="auto"/>
              <w:contextualSpacing/>
              <w:rPr>
                <w:rFonts w:ascii="Calibri" w:eastAsia="Gothic A1" w:hAnsi="Calibri" w:cstheme="minorHAnsi"/>
                <w:smallCaps/>
                <w:szCs w:val="20"/>
                <w:lang w:eastAsia="en-US"/>
              </w:rPr>
            </w:pPr>
            <w:r w:rsidRPr="00A04DAF">
              <w:rPr>
                <w:rFonts w:ascii="Calibri" w:eastAsia="Gothic A1" w:hAnsi="Calibri" w:cstheme="minorHAnsi"/>
                <w:bCs/>
                <w:smallCaps/>
                <w:szCs w:val="20"/>
                <w:lang w:eastAsia="en-US"/>
              </w:rPr>
              <w:t>Estensione temporale garanzia</w:t>
            </w:r>
            <w:r w:rsidRPr="00A04DAF">
              <w:rPr>
                <w:rFonts w:ascii="Calibri" w:eastAsia="Gothic A1" w:hAnsi="Calibri" w:cstheme="minorHAnsi"/>
                <w:smallCaps/>
                <w:szCs w:val="20"/>
                <w:lang w:eastAsia="en-US"/>
              </w:rPr>
              <w:t xml:space="preserve"> sulla fornitura (dalla data di certificazione di conformità)</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7ECBF2" w14:textId="77777777" w:rsidR="00A04DAF" w:rsidRPr="00A04DAF" w:rsidRDefault="00A04DAF" w:rsidP="00A04DAF">
            <w:pPr>
              <w:spacing w:before="120" w:after="120" w:line="259" w:lineRule="auto"/>
              <w:contextualSpacing/>
              <w:jc w:val="center"/>
              <w:rPr>
                <w:rFonts w:ascii="Calibri" w:eastAsia="Gothic A1" w:hAnsi="Calibri" w:cstheme="minorHAnsi"/>
                <w:bCs/>
                <w:smallCaps/>
                <w:szCs w:val="20"/>
                <w:lang w:eastAsia="en-US"/>
              </w:rPr>
            </w:pPr>
            <w:r w:rsidRPr="00A04DAF">
              <w:rPr>
                <w:rFonts w:ascii="Calibri" w:eastAsia="Gothic A1" w:hAnsi="Calibri" w:cstheme="minorHAnsi"/>
                <w:bCs/>
                <w:smallCaps/>
                <w:szCs w:val="20"/>
                <w:lang w:eastAsia="en-US"/>
              </w:rPr>
              <w:t>15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2F58E"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5.1</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1EFB"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&gt;24 mesi</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84738"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15</w:t>
            </w:r>
          </w:p>
        </w:tc>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1067C"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r>
      <w:tr w:rsidR="00A04DAF" w:rsidRPr="00A04DAF" w14:paraId="36D1D41A" w14:textId="77777777" w:rsidTr="009332ED">
        <w:trPr>
          <w:jc w:val="right"/>
        </w:trPr>
        <w:tc>
          <w:tcPr>
            <w:tcW w:w="403" w:type="dxa"/>
            <w:vMerge/>
          </w:tcPr>
          <w:p w14:paraId="576691B6"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2786" w:type="dxa"/>
            <w:vMerge/>
          </w:tcPr>
          <w:p w14:paraId="14F0DA39"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917" w:type="dxa"/>
            <w:vMerge/>
          </w:tcPr>
          <w:p w14:paraId="76F06DC8" w14:textId="77777777" w:rsidR="00A04DAF" w:rsidRPr="00A04DAF" w:rsidRDefault="00A04DAF" w:rsidP="00A04DAF">
            <w:pPr>
              <w:spacing w:after="160" w:line="259" w:lineRule="auto"/>
              <w:contextualSpacing/>
              <w:rPr>
                <w:rFonts w:ascii="Calibri" w:hAnsi="Calibri" w:cstheme="minorHAnsi"/>
                <w:smallCaps/>
                <w:szCs w:val="20"/>
                <w:lang w:eastAsia="en-US"/>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090E4"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5.2</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3186E"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r w:rsidRPr="00A04DAF">
              <w:rPr>
                <w:rFonts w:ascii="Calibri" w:eastAsia="Gothic A1" w:hAnsi="Calibri" w:cstheme="minorHAnsi"/>
                <w:smallCaps/>
                <w:szCs w:val="20"/>
                <w:lang w:eastAsia="en-US"/>
              </w:rPr>
              <w:t>24 mesi</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CDDC6" w14:textId="77777777" w:rsidR="00A04DAF" w:rsidRPr="00A04DAF" w:rsidRDefault="00BA1015" w:rsidP="00A04DAF">
            <w:pPr>
              <w:spacing w:before="120" w:after="120" w:line="259" w:lineRule="auto"/>
              <w:contextualSpacing/>
              <w:jc w:val="center"/>
              <w:rPr>
                <w:rFonts w:ascii="Calibri" w:eastAsia="Gothic A1" w:hAnsi="Calibri" w:cstheme="minorHAnsi"/>
                <w:smallCaps/>
                <w:szCs w:val="20"/>
                <w:lang w:eastAsia="en-US"/>
              </w:rPr>
            </w:pPr>
            <w:sdt>
              <w:sdtPr>
                <w:rPr>
                  <w:rFonts w:ascii="Calibri" w:hAnsi="Calibri" w:cstheme="minorHAnsi"/>
                  <w:smallCaps/>
                  <w:szCs w:val="20"/>
                  <w:lang w:eastAsia="en-US"/>
                </w:rPr>
                <w:tag w:val="goog_rdk_246"/>
                <w:id w:val="1090398923"/>
                <w:placeholder>
                  <w:docPart w:val="CA66D5A4A5AC4A979CB29D9ECEDF6859"/>
                </w:placeholder>
              </w:sdtPr>
              <w:sdtEndPr/>
              <w:sdtContent>
                <w:r w:rsidR="00A04DAF" w:rsidRPr="00A04DAF">
                  <w:rPr>
                    <w:rFonts w:ascii="Calibri" w:eastAsia="Gothic A1" w:hAnsi="Calibri" w:cstheme="minorHAnsi"/>
                    <w:smallCaps/>
                    <w:szCs w:val="20"/>
                    <w:lang w:eastAsia="en-US"/>
                  </w:rPr>
                  <w:t>10</w:t>
                </w:r>
              </w:sdtContent>
            </w:sdt>
          </w:p>
        </w:tc>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4C18C" w14:textId="77777777" w:rsidR="00A04DAF" w:rsidRPr="00A04DAF" w:rsidRDefault="00A04DAF" w:rsidP="00A04DAF">
            <w:pPr>
              <w:spacing w:before="120" w:after="120" w:line="259" w:lineRule="auto"/>
              <w:contextualSpacing/>
              <w:jc w:val="center"/>
              <w:rPr>
                <w:rFonts w:ascii="Calibri" w:eastAsia="Gothic A1" w:hAnsi="Calibri" w:cstheme="minorHAnsi"/>
                <w:smallCaps/>
                <w:szCs w:val="20"/>
                <w:lang w:eastAsia="en-US"/>
              </w:rPr>
            </w:pPr>
          </w:p>
        </w:tc>
      </w:tr>
      <w:tr w:rsidR="009332ED" w:rsidRPr="00A04DAF" w14:paraId="56124D55" w14:textId="77777777" w:rsidTr="009332ED">
        <w:trPr>
          <w:jc w:val="right"/>
        </w:trPr>
        <w:tc>
          <w:tcPr>
            <w:tcW w:w="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2C4C9" w14:textId="77777777" w:rsidR="009332ED" w:rsidRPr="00A04DAF" w:rsidRDefault="009332ED" w:rsidP="00A04DAF">
            <w:pPr>
              <w:spacing w:before="120" w:after="120" w:line="259" w:lineRule="auto"/>
              <w:contextualSpacing/>
              <w:jc w:val="center"/>
              <w:rPr>
                <w:rFonts w:ascii="Calibri" w:eastAsia="Gothic A1" w:hAnsi="Calibri" w:cstheme="minorHAnsi"/>
                <w:bCs/>
                <w:smallCaps/>
                <w:szCs w:val="20"/>
                <w:lang w:eastAsia="en-US"/>
              </w:rPr>
            </w:pPr>
          </w:p>
        </w:tc>
        <w:tc>
          <w:tcPr>
            <w:tcW w:w="27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04169C" w14:textId="77777777" w:rsidR="009332ED" w:rsidRPr="00A04DAF" w:rsidRDefault="009332ED" w:rsidP="00A04DAF">
            <w:pPr>
              <w:spacing w:before="120" w:after="120" w:line="259" w:lineRule="auto"/>
              <w:contextualSpacing/>
              <w:jc w:val="center"/>
              <w:rPr>
                <w:rFonts w:ascii="Calibri" w:eastAsia="Gothic A1" w:hAnsi="Calibri" w:cstheme="minorHAnsi"/>
                <w:bCs/>
                <w:smallCaps/>
                <w:szCs w:val="20"/>
                <w:lang w:eastAsia="en-US"/>
              </w:rPr>
            </w:pPr>
            <w:r w:rsidRPr="00A04DAF">
              <w:rPr>
                <w:rFonts w:ascii="Calibri" w:eastAsia="Gothic A1" w:hAnsi="Calibri" w:cstheme="minorHAnsi"/>
                <w:bCs/>
                <w:smallCaps/>
                <w:szCs w:val="20"/>
                <w:lang w:eastAsia="en-US"/>
              </w:rPr>
              <w:t>Totale</w:t>
            </w:r>
          </w:p>
        </w:tc>
        <w:tc>
          <w:tcPr>
            <w:tcW w:w="9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E40C00" w14:textId="1AD6537A" w:rsidR="009332ED" w:rsidRPr="00A04DAF" w:rsidRDefault="009332ED" w:rsidP="00A04DAF">
            <w:pPr>
              <w:spacing w:before="120" w:after="120" w:line="259" w:lineRule="auto"/>
              <w:contextualSpacing/>
              <w:jc w:val="center"/>
              <w:rPr>
                <w:rFonts w:ascii="Calibri" w:eastAsia="Gothic A1" w:hAnsi="Calibri" w:cstheme="minorHAnsi"/>
                <w:bCs/>
                <w:smallCaps/>
                <w:szCs w:val="20"/>
                <w:highlight w:val="yellow"/>
                <w:lang w:eastAsia="en-US"/>
              </w:rPr>
            </w:pPr>
            <w:r>
              <w:rPr>
                <w:rFonts w:ascii="Calibri" w:eastAsia="Gothic A1" w:hAnsi="Calibri" w:cstheme="minorHAnsi"/>
                <w:bCs/>
                <w:smallCaps/>
                <w:szCs w:val="20"/>
                <w:lang w:eastAsia="en-US"/>
              </w:rPr>
              <w:t>60</w:t>
            </w:r>
          </w:p>
        </w:tc>
        <w:tc>
          <w:tcPr>
            <w:tcW w:w="7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AD5814" w14:textId="77777777" w:rsidR="009332ED" w:rsidRPr="00A04DAF" w:rsidRDefault="009332ED" w:rsidP="00A04DAF">
            <w:pPr>
              <w:spacing w:before="120" w:after="120" w:line="259" w:lineRule="auto"/>
              <w:contextualSpacing/>
              <w:jc w:val="center"/>
              <w:rPr>
                <w:rFonts w:ascii="Calibri" w:eastAsia="Gothic A1" w:hAnsi="Calibri" w:cstheme="minorHAnsi"/>
                <w:bCs/>
                <w:smallCaps/>
                <w:szCs w:val="20"/>
                <w:highlight w:val="yellow"/>
                <w:lang w:eastAsia="en-US"/>
              </w:rPr>
            </w:pPr>
          </w:p>
        </w:tc>
        <w:tc>
          <w:tcPr>
            <w:tcW w:w="18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18EFAD" w14:textId="77777777" w:rsidR="009332ED" w:rsidRPr="00A04DAF" w:rsidRDefault="009332ED" w:rsidP="00A04DAF">
            <w:pPr>
              <w:spacing w:before="120" w:after="120" w:line="259" w:lineRule="auto"/>
              <w:contextualSpacing/>
              <w:jc w:val="center"/>
              <w:rPr>
                <w:rFonts w:ascii="Calibri" w:eastAsia="Gothic A1" w:hAnsi="Calibri" w:cstheme="minorHAnsi"/>
                <w:bCs/>
                <w:smallCaps/>
                <w:szCs w:val="20"/>
                <w:lang w:eastAsia="en-US"/>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63A4FF" w14:textId="7B1A2211" w:rsidR="009332ED" w:rsidRPr="00A04DAF" w:rsidRDefault="009332ED" w:rsidP="00A04DAF">
            <w:pPr>
              <w:spacing w:before="120" w:after="120" w:line="259" w:lineRule="auto"/>
              <w:contextualSpacing/>
              <w:jc w:val="center"/>
              <w:rPr>
                <w:rFonts w:ascii="Calibri" w:eastAsia="Gothic A1" w:hAnsi="Calibri" w:cstheme="minorHAnsi"/>
                <w:bCs/>
                <w:smallCaps/>
                <w:szCs w:val="20"/>
                <w:lang w:eastAsia="en-US"/>
              </w:rPr>
            </w:pPr>
            <w:r>
              <w:rPr>
                <w:rFonts w:ascii="Calibri" w:eastAsia="Gothic A1" w:hAnsi="Calibri" w:cstheme="minorHAnsi"/>
                <w:bCs/>
                <w:smallCaps/>
                <w:szCs w:val="20"/>
                <w:lang w:eastAsia="en-US"/>
              </w:rPr>
              <w:t>60</w:t>
            </w:r>
          </w:p>
        </w:tc>
        <w:tc>
          <w:tcPr>
            <w:tcW w:w="1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AF95CA" w14:textId="71C9C3A6" w:rsidR="009332ED" w:rsidRPr="00A04DAF" w:rsidRDefault="009332ED" w:rsidP="00A04DAF">
            <w:pPr>
              <w:spacing w:before="120" w:after="120" w:line="259" w:lineRule="auto"/>
              <w:contextualSpacing/>
              <w:jc w:val="center"/>
              <w:rPr>
                <w:rFonts w:ascii="Calibri" w:eastAsia="Gothic A1" w:hAnsi="Calibri" w:cstheme="minorHAnsi"/>
                <w:bCs/>
                <w:smallCaps/>
                <w:szCs w:val="20"/>
                <w:lang w:eastAsia="en-US"/>
              </w:rPr>
            </w:pPr>
          </w:p>
        </w:tc>
      </w:tr>
    </w:tbl>
    <w:p w14:paraId="42AD6710" w14:textId="77777777" w:rsidR="00A571D2" w:rsidRDefault="00A571D2" w:rsidP="005F242D">
      <w:pPr>
        <w:jc w:val="both"/>
        <w:rPr>
          <w:rFonts w:cstheme="minorHAnsi"/>
          <w:b/>
          <w:i/>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sectPr w:rsidR="007F5082"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4E7A9" w14:textId="77777777" w:rsidR="00A87EC0" w:rsidRDefault="00A87EC0" w:rsidP="00F91270">
      <w:r>
        <w:separator/>
      </w:r>
    </w:p>
  </w:endnote>
  <w:endnote w:type="continuationSeparator" w:id="0">
    <w:p w14:paraId="69328794" w14:textId="77777777" w:rsidR="00A87EC0" w:rsidRDefault="00A87EC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5338E61D"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BA1015">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D0342" w14:textId="77777777" w:rsidR="00A87EC0" w:rsidRDefault="00A87EC0" w:rsidP="00F91270">
      <w:r>
        <w:separator/>
      </w:r>
    </w:p>
  </w:footnote>
  <w:footnote w:type="continuationSeparator" w:id="0">
    <w:p w14:paraId="43F7D5C0" w14:textId="77777777" w:rsidR="00A87EC0" w:rsidRDefault="00A87EC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74F514F"/>
    <w:multiLevelType w:val="hybridMultilevel"/>
    <w:tmpl w:val="FFFFFFFF"/>
    <w:lvl w:ilvl="0" w:tplc="037E6950">
      <w:start w:val="12"/>
      <w:numFmt w:val="bullet"/>
      <w:lvlText w:val="-"/>
      <w:lvlJc w:val="left"/>
      <w:pPr>
        <w:ind w:left="720" w:hanging="360"/>
      </w:pPr>
      <w:rPr>
        <w:rFonts w:ascii="Calibri" w:eastAsia="Gothic A1"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2"/>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 w:numId="33">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14C96"/>
    <w:rsid w:val="00015B8F"/>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5420"/>
    <w:rsid w:val="00067F27"/>
    <w:rsid w:val="000712A6"/>
    <w:rsid w:val="000717C9"/>
    <w:rsid w:val="000732E0"/>
    <w:rsid w:val="0007595D"/>
    <w:rsid w:val="00076A85"/>
    <w:rsid w:val="00082517"/>
    <w:rsid w:val="00083F9D"/>
    <w:rsid w:val="00090B41"/>
    <w:rsid w:val="000A2BD7"/>
    <w:rsid w:val="000B1AAC"/>
    <w:rsid w:val="000B5DC9"/>
    <w:rsid w:val="000B6ECF"/>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25D5"/>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3B53"/>
    <w:rsid w:val="001941AE"/>
    <w:rsid w:val="001A5880"/>
    <w:rsid w:val="001A619F"/>
    <w:rsid w:val="001B28F2"/>
    <w:rsid w:val="001B5C20"/>
    <w:rsid w:val="001B6183"/>
    <w:rsid w:val="001B7C78"/>
    <w:rsid w:val="001C055C"/>
    <w:rsid w:val="001C1810"/>
    <w:rsid w:val="001C2887"/>
    <w:rsid w:val="001C53E4"/>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764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4092"/>
    <w:rsid w:val="00317626"/>
    <w:rsid w:val="00323DA9"/>
    <w:rsid w:val="003361FE"/>
    <w:rsid w:val="00343109"/>
    <w:rsid w:val="00346D03"/>
    <w:rsid w:val="0035407A"/>
    <w:rsid w:val="003609C0"/>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5F7B"/>
    <w:rsid w:val="005360CF"/>
    <w:rsid w:val="00542F42"/>
    <w:rsid w:val="005553EE"/>
    <w:rsid w:val="005559B5"/>
    <w:rsid w:val="00556DEA"/>
    <w:rsid w:val="00560F03"/>
    <w:rsid w:val="005624C4"/>
    <w:rsid w:val="00562C10"/>
    <w:rsid w:val="00563E3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242D"/>
    <w:rsid w:val="005F351E"/>
    <w:rsid w:val="005F42B8"/>
    <w:rsid w:val="005F59F2"/>
    <w:rsid w:val="00601EE8"/>
    <w:rsid w:val="00602F7E"/>
    <w:rsid w:val="00605069"/>
    <w:rsid w:val="0060649C"/>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955"/>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1DE2"/>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57F4"/>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5C8F"/>
    <w:rsid w:val="008C5C63"/>
    <w:rsid w:val="008C617E"/>
    <w:rsid w:val="008D4019"/>
    <w:rsid w:val="008E0862"/>
    <w:rsid w:val="008E0B9D"/>
    <w:rsid w:val="008E325E"/>
    <w:rsid w:val="008E74E0"/>
    <w:rsid w:val="008F70F7"/>
    <w:rsid w:val="00911D26"/>
    <w:rsid w:val="00917F16"/>
    <w:rsid w:val="00924EC8"/>
    <w:rsid w:val="00926FD4"/>
    <w:rsid w:val="00927391"/>
    <w:rsid w:val="009277EE"/>
    <w:rsid w:val="00927A03"/>
    <w:rsid w:val="009332ED"/>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04DAF"/>
    <w:rsid w:val="00A113CC"/>
    <w:rsid w:val="00A14F74"/>
    <w:rsid w:val="00A16246"/>
    <w:rsid w:val="00A17AAB"/>
    <w:rsid w:val="00A17F09"/>
    <w:rsid w:val="00A2428C"/>
    <w:rsid w:val="00A35434"/>
    <w:rsid w:val="00A4081A"/>
    <w:rsid w:val="00A40EF7"/>
    <w:rsid w:val="00A44E6C"/>
    <w:rsid w:val="00A45ACF"/>
    <w:rsid w:val="00A51326"/>
    <w:rsid w:val="00A53ACA"/>
    <w:rsid w:val="00A54911"/>
    <w:rsid w:val="00A55BE3"/>
    <w:rsid w:val="00A571D2"/>
    <w:rsid w:val="00A610CF"/>
    <w:rsid w:val="00A616EA"/>
    <w:rsid w:val="00A6190D"/>
    <w:rsid w:val="00A63918"/>
    <w:rsid w:val="00A665C6"/>
    <w:rsid w:val="00A70D0E"/>
    <w:rsid w:val="00A74119"/>
    <w:rsid w:val="00A7415E"/>
    <w:rsid w:val="00A832EB"/>
    <w:rsid w:val="00A84D12"/>
    <w:rsid w:val="00A866B4"/>
    <w:rsid w:val="00A877FA"/>
    <w:rsid w:val="00A87EC0"/>
    <w:rsid w:val="00A901F7"/>
    <w:rsid w:val="00A928B1"/>
    <w:rsid w:val="00A92E15"/>
    <w:rsid w:val="00AA1AE9"/>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2921"/>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1015"/>
    <w:rsid w:val="00BA2378"/>
    <w:rsid w:val="00BB143A"/>
    <w:rsid w:val="00BB265C"/>
    <w:rsid w:val="00BB346F"/>
    <w:rsid w:val="00BC03F3"/>
    <w:rsid w:val="00BC5CCB"/>
    <w:rsid w:val="00BC65D3"/>
    <w:rsid w:val="00BC6AB3"/>
    <w:rsid w:val="00BD4F90"/>
    <w:rsid w:val="00BD554F"/>
    <w:rsid w:val="00BD7A64"/>
    <w:rsid w:val="00BE6DA1"/>
    <w:rsid w:val="00BF4ED2"/>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077FA"/>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0762"/>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2071A"/>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B6D"/>
    <w:rsid w:val="00F75355"/>
    <w:rsid w:val="00F80F35"/>
    <w:rsid w:val="00F8356E"/>
    <w:rsid w:val="00F84F81"/>
    <w:rsid w:val="00F86AFF"/>
    <w:rsid w:val="00F87DF5"/>
    <w:rsid w:val="00F91270"/>
    <w:rsid w:val="00F91AB7"/>
    <w:rsid w:val="00F9579C"/>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A4081A"/>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66D5A4A5AC4A979CB29D9ECEDF6859"/>
        <w:category>
          <w:name w:val="Generale"/>
          <w:gallery w:val="placeholder"/>
        </w:category>
        <w:types>
          <w:type w:val="bbPlcHdr"/>
        </w:types>
        <w:behaviors>
          <w:behavior w:val="content"/>
        </w:behaviors>
        <w:guid w:val="{3A3D969B-E75B-4CF8-B3A8-AE2111656A94}"/>
      </w:docPartPr>
      <w:docPartBody>
        <w:p w:rsidR="006A12FD" w:rsidRDefault="006A12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FD2"/>
    <w:rsid w:val="006A12FD"/>
    <w:rsid w:val="00DF6FD2"/>
    <w:rsid w:val="00E207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328b3d02-dc96-4f9a-b9a1-5bcc593a5f18"/>
    <ds:schemaRef ds:uri="0a829f73-8593-4245-aa5f-6db55261e259"/>
    <ds:schemaRef ds:uri="http://purl.org/dc/terms/"/>
  </ds:schemaRefs>
</ds:datastoreItem>
</file>

<file path=customXml/itemProps4.xml><?xml version="1.0" encoding="utf-8"?>
<ds:datastoreItem xmlns:ds="http://schemas.openxmlformats.org/officeDocument/2006/customXml" ds:itemID="{96D4892F-4B86-4FB1-9A89-BB6E9EC0D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814</Words>
  <Characters>4642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33</cp:revision>
  <cp:lastPrinted>2017-10-24T09:03:00Z</cp:lastPrinted>
  <dcterms:created xsi:type="dcterms:W3CDTF">2024-02-07T10:19:00Z</dcterms:created>
  <dcterms:modified xsi:type="dcterms:W3CDTF">2024-09-16T10:10:00Z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