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8187DE" w14:textId="77777777" w:rsidR="00BF24E2" w:rsidRPr="00CA1DF7" w:rsidRDefault="00BF24E2" w:rsidP="00BF24E2">
      <w:pPr>
        <w:rPr>
          <w:rFonts w:ascii="Calibri" w:hAnsi="Calibri" w:cs="Calibri"/>
          <w:sz w:val="20"/>
          <w:szCs w:val="20"/>
        </w:rPr>
      </w:pPr>
      <w:bookmarkStart w:id="0" w:name="_Hlk112753106"/>
      <w:r w:rsidRPr="00CA1DF7">
        <w:rPr>
          <w:rFonts w:ascii="Calibri" w:hAnsi="Calibri" w:cs="Calibri"/>
          <w:sz w:val="20"/>
          <w:szCs w:val="20"/>
        </w:rPr>
        <w:t>“Dichiarazione DNSH”- Appendice C”</w:t>
      </w:r>
      <w:r w:rsidRPr="00CA1DF7">
        <w:rPr>
          <w:rStyle w:val="Rimandonotaapidipagina"/>
          <w:rFonts w:ascii="Calibri" w:hAnsi="Calibri" w:cs="Calibri"/>
          <w:sz w:val="20"/>
          <w:szCs w:val="20"/>
        </w:rPr>
        <w:footnoteReference w:id="1"/>
      </w:r>
    </w:p>
    <w:p w14:paraId="4F462DC2" w14:textId="77777777" w:rsidR="00BF24E2" w:rsidRPr="00811B3C" w:rsidRDefault="00BF24E2" w:rsidP="00BF24E2">
      <w:pPr>
        <w:rPr>
          <w:rFonts w:ascii="Calibri" w:hAnsi="Calibri" w:cs="Calibri"/>
          <w:sz w:val="20"/>
          <w:szCs w:val="20"/>
        </w:rPr>
      </w:pPr>
    </w:p>
    <w:p w14:paraId="7A937935" w14:textId="77777777" w:rsidR="00C65583" w:rsidRPr="00C65583" w:rsidRDefault="00C65583" w:rsidP="00C65583">
      <w:pPr>
        <w:contextualSpacing/>
        <w:jc w:val="both"/>
        <w:rPr>
          <w:rFonts w:ascii="Calibri" w:eastAsia="Calibri" w:hAnsi="Calibri" w:cs="Calibri"/>
          <w:caps/>
          <w:sz w:val="20"/>
          <w:szCs w:val="20"/>
        </w:rPr>
      </w:pPr>
      <w:r w:rsidRPr="00C65583">
        <w:rPr>
          <w:rFonts w:ascii="Calibri" w:eastAsia="Calibri" w:hAnsi="Calibri" w:cs="Calibri"/>
          <w:caps/>
          <w:sz w:val="20"/>
          <w:szCs w:val="20"/>
        </w:rPr>
        <w:t xml:space="preserve">GARA A PROCEDURA APERTA SOPRA SOGLIA COMUNITARIA AI SENSI DELL’ART. 71 DEL DECRETO LEGISLATIVO N. 36/2023 PER L’AFFIDAMENTO DI UN MICROSCOPIO ELETTRONICO A SCANSIONE SEM AD ALTA RISOLUZIONE CON SORGENTE DI EMISSIONE DI CAMPO DI TIPO SCHOTTKY TERMOASSISTITA NELL’AMBITO DEL PIANO NAZIONALE RIPRESA E RESILIENZA (PNRR) MISSIONE </w:t>
      </w:r>
      <w:proofErr w:type="spellStart"/>
      <w:r w:rsidRPr="00C65583">
        <w:rPr>
          <w:rFonts w:ascii="Calibri" w:eastAsia="Calibri" w:hAnsi="Calibri" w:cs="Calibri"/>
          <w:caps/>
          <w:sz w:val="20"/>
          <w:szCs w:val="20"/>
        </w:rPr>
        <w:t>MISSIONE</w:t>
      </w:r>
      <w:proofErr w:type="spellEnd"/>
      <w:r w:rsidRPr="00C65583">
        <w:rPr>
          <w:rFonts w:ascii="Calibri" w:eastAsia="Calibri" w:hAnsi="Calibri" w:cs="Calibri"/>
          <w:caps/>
          <w:sz w:val="20"/>
          <w:szCs w:val="20"/>
        </w:rPr>
        <w:t xml:space="preserve"> 04 “ISTRUZIONE E RICERCA” – COMPONENTE 2 “DALLA RICERCA ALL’IMPRESA” – INVESTIMENTO 3.1 “RAFFORZAMENTO E CREAZIONE DI IR NELL’AMBITO DEL PIANO NAZIONALE DI RIPRESA E RESILIENZA” (PNRR), PROGETTO iENTRANCE@ENL - CUP B33C22000710006 CIG [</w:t>
      </w:r>
      <w:r w:rsidRPr="00C65583">
        <w:rPr>
          <w:rFonts w:ascii="Calibri" w:eastAsia="Calibri" w:hAnsi="Calibri" w:cs="Calibri"/>
          <w:caps/>
          <w:sz w:val="20"/>
          <w:szCs w:val="20"/>
          <w:highlight w:val="yellow"/>
        </w:rPr>
        <w:t>completare</w:t>
      </w:r>
      <w:r w:rsidRPr="00C65583">
        <w:rPr>
          <w:rFonts w:ascii="Calibri" w:eastAsia="Calibri" w:hAnsi="Calibri" w:cs="Calibri"/>
          <w:caps/>
          <w:sz w:val="20"/>
          <w:szCs w:val="20"/>
        </w:rPr>
        <w:t>] CUI F80054330586202300641</w:t>
      </w:r>
    </w:p>
    <w:p w14:paraId="52564AB6" w14:textId="7642C52E" w:rsidR="00BF24E2" w:rsidRPr="00560AE2" w:rsidRDefault="00BF24E2" w:rsidP="00AC292E">
      <w:pPr>
        <w:contextualSpacing/>
        <w:jc w:val="both"/>
        <w:rPr>
          <w:rFonts w:ascii="Calibri" w:eastAsia="Calibri" w:hAnsi="Calibri" w:cs="Calibri"/>
          <w:caps/>
          <w:sz w:val="20"/>
          <w:szCs w:val="20"/>
        </w:rPr>
      </w:pPr>
      <w:r w:rsidRPr="00560AE2">
        <w:rPr>
          <w:rFonts w:ascii="Calibri" w:eastAsia="Calibri" w:hAnsi="Calibri" w:cs="Calibri"/>
          <w:caps/>
          <w:sz w:val="20"/>
          <w:szCs w:val="20"/>
        </w:rPr>
        <w:t>]</w:t>
      </w:r>
      <w:r>
        <w:rPr>
          <w:rFonts w:ascii="Calibri" w:eastAsia="Calibri" w:hAnsi="Calibri" w:cs="Calibri"/>
          <w:caps/>
          <w:sz w:val="20"/>
          <w:szCs w:val="20"/>
        </w:rPr>
        <w:t xml:space="preserve"> </w:t>
      </w:r>
    </w:p>
    <w:p w14:paraId="537CFCC9" w14:textId="77777777" w:rsidR="00BF24E2" w:rsidRPr="00811B3C" w:rsidRDefault="00BF24E2" w:rsidP="00BF24E2">
      <w:pPr>
        <w:contextualSpacing/>
        <w:rPr>
          <w:rFonts w:ascii="Calibri" w:eastAsia="Calibri" w:hAnsi="Calibri" w:cs="Arial"/>
          <w:smallCaps/>
          <w:sz w:val="20"/>
          <w:szCs w:val="16"/>
          <w:bdr w:val="single" w:sz="4" w:space="0" w:color="aut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835"/>
        <w:gridCol w:w="6457"/>
      </w:tblGrid>
      <w:tr w:rsidR="00BF24E2" w:rsidRPr="00811B3C" w14:paraId="56830F65" w14:textId="77777777" w:rsidTr="001A5B06">
        <w:trPr>
          <w:jc w:val="center"/>
        </w:trPr>
        <w:tc>
          <w:tcPr>
            <w:tcW w:w="3397" w:type="dxa"/>
            <w:gridSpan w:val="2"/>
            <w:shd w:val="clear" w:color="auto" w:fill="auto"/>
          </w:tcPr>
          <w:p w14:paraId="7CFA8E99" w14:textId="77777777" w:rsidR="00BF24E2" w:rsidRPr="00811B3C" w:rsidRDefault="00BF24E2" w:rsidP="001A5B06">
            <w:pPr>
              <w:tabs>
                <w:tab w:val="left" w:pos="-1800"/>
                <w:tab w:val="left" w:pos="1080"/>
                <w:tab w:val="left" w:pos="1800"/>
                <w:tab w:val="left" w:pos="6300"/>
              </w:tabs>
              <w:spacing w:before="40" w:after="40"/>
              <w:rPr>
                <w:rFonts w:ascii="Calibri" w:hAnsi="Calibri" w:cs="Calibri"/>
                <w:bCs/>
                <w:i/>
                <w:iCs/>
                <w:sz w:val="20"/>
                <w:szCs w:val="20"/>
              </w:rPr>
            </w:pPr>
            <w:r w:rsidRPr="00811B3C">
              <w:rPr>
                <w:rFonts w:ascii="Calibri" w:hAnsi="Calibri" w:cs="Calibri"/>
                <w:bCs/>
                <w:sz w:val="20"/>
                <w:szCs w:val="20"/>
              </w:rPr>
              <w:t>Il sottoscritto</w:t>
            </w:r>
          </w:p>
        </w:tc>
        <w:tc>
          <w:tcPr>
            <w:tcW w:w="6457" w:type="dxa"/>
            <w:shd w:val="clear" w:color="auto" w:fill="auto"/>
          </w:tcPr>
          <w:p w14:paraId="333D6CC8" w14:textId="77777777" w:rsidR="00BF24E2" w:rsidRPr="00811B3C" w:rsidRDefault="00BF24E2" w:rsidP="001A5B06">
            <w:pPr>
              <w:tabs>
                <w:tab w:val="left" w:pos="-1800"/>
                <w:tab w:val="left" w:pos="1080"/>
                <w:tab w:val="left" w:pos="1800"/>
                <w:tab w:val="left" w:pos="6300"/>
              </w:tabs>
              <w:spacing w:before="40" w:after="40"/>
              <w:rPr>
                <w:rFonts w:ascii="Calibri" w:hAnsi="Calibri" w:cs="Calibri"/>
                <w:bCs/>
                <w:i/>
                <w:iCs/>
                <w:sz w:val="20"/>
                <w:szCs w:val="20"/>
              </w:rPr>
            </w:pPr>
          </w:p>
        </w:tc>
      </w:tr>
      <w:tr w:rsidR="00BF24E2" w:rsidRPr="00811B3C" w14:paraId="78507E96" w14:textId="77777777" w:rsidTr="001A5B06">
        <w:trPr>
          <w:jc w:val="center"/>
        </w:trPr>
        <w:tc>
          <w:tcPr>
            <w:tcW w:w="3397" w:type="dxa"/>
            <w:gridSpan w:val="2"/>
            <w:shd w:val="clear" w:color="auto" w:fill="auto"/>
          </w:tcPr>
          <w:p w14:paraId="7CF26E41" w14:textId="77777777" w:rsidR="00BF24E2" w:rsidRPr="00811B3C" w:rsidRDefault="00BF24E2" w:rsidP="001A5B06">
            <w:pPr>
              <w:tabs>
                <w:tab w:val="left" w:pos="-1800"/>
                <w:tab w:val="left" w:pos="1080"/>
                <w:tab w:val="left" w:pos="1800"/>
                <w:tab w:val="left" w:pos="6300"/>
              </w:tabs>
              <w:spacing w:before="40" w:after="40"/>
              <w:rPr>
                <w:rFonts w:ascii="Calibri" w:hAnsi="Calibri" w:cs="Calibri"/>
                <w:bCs/>
                <w:i/>
                <w:iCs/>
                <w:sz w:val="20"/>
                <w:szCs w:val="20"/>
              </w:rPr>
            </w:pPr>
            <w:r w:rsidRPr="00811B3C">
              <w:rPr>
                <w:rFonts w:ascii="Calibri" w:hAnsi="Calibri" w:cs="Calibri"/>
                <w:bCs/>
                <w:sz w:val="20"/>
                <w:szCs w:val="20"/>
              </w:rPr>
              <w:t>Codice fiscale</w:t>
            </w:r>
          </w:p>
        </w:tc>
        <w:tc>
          <w:tcPr>
            <w:tcW w:w="6457" w:type="dxa"/>
            <w:shd w:val="clear" w:color="auto" w:fill="auto"/>
          </w:tcPr>
          <w:p w14:paraId="7B7CA846" w14:textId="77777777" w:rsidR="00BF24E2" w:rsidRPr="00811B3C" w:rsidRDefault="00BF24E2" w:rsidP="001A5B06">
            <w:pPr>
              <w:tabs>
                <w:tab w:val="left" w:pos="-1800"/>
                <w:tab w:val="left" w:pos="1080"/>
                <w:tab w:val="left" w:pos="1800"/>
                <w:tab w:val="left" w:pos="6300"/>
              </w:tabs>
              <w:spacing w:before="40" w:after="40"/>
              <w:rPr>
                <w:rFonts w:ascii="Calibri" w:hAnsi="Calibri" w:cs="Calibri"/>
                <w:bCs/>
                <w:i/>
                <w:iCs/>
                <w:sz w:val="20"/>
                <w:szCs w:val="20"/>
              </w:rPr>
            </w:pPr>
          </w:p>
        </w:tc>
      </w:tr>
      <w:tr w:rsidR="00BF24E2" w:rsidRPr="00811B3C" w14:paraId="1FBC114B" w14:textId="77777777" w:rsidTr="001A5B06">
        <w:trPr>
          <w:jc w:val="center"/>
        </w:trPr>
        <w:tc>
          <w:tcPr>
            <w:tcW w:w="9854" w:type="dxa"/>
            <w:gridSpan w:val="3"/>
            <w:shd w:val="clear" w:color="auto" w:fill="auto"/>
          </w:tcPr>
          <w:p w14:paraId="431535C1" w14:textId="77777777" w:rsidR="00BF24E2" w:rsidRPr="00811B3C" w:rsidRDefault="00BF24E2" w:rsidP="001A5B06">
            <w:pPr>
              <w:tabs>
                <w:tab w:val="left" w:pos="-1800"/>
                <w:tab w:val="left" w:pos="1080"/>
                <w:tab w:val="left" w:pos="1800"/>
                <w:tab w:val="left" w:pos="6300"/>
              </w:tabs>
              <w:spacing w:before="40" w:after="40"/>
              <w:rPr>
                <w:rFonts w:ascii="Calibri" w:hAnsi="Calibri" w:cs="Calibri"/>
                <w:bCs/>
                <w:i/>
                <w:iCs/>
                <w:sz w:val="20"/>
                <w:szCs w:val="20"/>
              </w:rPr>
            </w:pPr>
            <w:r w:rsidRPr="00811B3C">
              <w:rPr>
                <w:rFonts w:ascii="Calibri" w:hAnsi="Calibri" w:cs="Calibri"/>
                <w:bCs/>
                <w:sz w:val="20"/>
                <w:szCs w:val="20"/>
              </w:rPr>
              <w:t>Nella sua qualità di:</w:t>
            </w:r>
          </w:p>
        </w:tc>
      </w:tr>
      <w:tr w:rsidR="00BF24E2" w:rsidRPr="00811B3C" w14:paraId="4C873A59" w14:textId="77777777" w:rsidTr="001A5B06">
        <w:trPr>
          <w:jc w:val="center"/>
        </w:trPr>
        <w:tc>
          <w:tcPr>
            <w:tcW w:w="562" w:type="dxa"/>
            <w:shd w:val="clear" w:color="auto" w:fill="auto"/>
          </w:tcPr>
          <w:p w14:paraId="0CF03E78" w14:textId="77777777" w:rsidR="00BF24E2" w:rsidRPr="00811B3C" w:rsidRDefault="00BF24E2" w:rsidP="001A5B06">
            <w:pPr>
              <w:tabs>
                <w:tab w:val="left" w:pos="-1800"/>
                <w:tab w:val="left" w:pos="1080"/>
                <w:tab w:val="left" w:pos="1800"/>
                <w:tab w:val="left" w:pos="6300"/>
              </w:tabs>
              <w:autoSpaceDE w:val="0"/>
              <w:autoSpaceDN w:val="0"/>
              <w:jc w:val="center"/>
              <w:rPr>
                <w:rFonts w:ascii="Calibri" w:hAnsi="Calibri" w:cs="Calibri"/>
                <w:bCs/>
                <w:iCs/>
                <w:sz w:val="20"/>
                <w:szCs w:val="20"/>
              </w:rPr>
            </w:pPr>
            <w:r w:rsidRPr="00811B3C">
              <w:rPr>
                <w:rFonts w:ascii="Calibri" w:hAnsi="Calibri" w:cs="Calibri"/>
                <w:bCs/>
                <w:sz w:val="32"/>
                <w:szCs w:val="32"/>
              </w:rPr>
              <w:t>□</w:t>
            </w:r>
          </w:p>
        </w:tc>
        <w:tc>
          <w:tcPr>
            <w:tcW w:w="9292" w:type="dxa"/>
            <w:gridSpan w:val="2"/>
            <w:shd w:val="clear" w:color="auto" w:fill="auto"/>
            <w:vAlign w:val="center"/>
          </w:tcPr>
          <w:p w14:paraId="77993B5C" w14:textId="77777777" w:rsidR="00BF24E2" w:rsidRPr="00811B3C" w:rsidRDefault="00BF24E2" w:rsidP="001A5B06">
            <w:pPr>
              <w:tabs>
                <w:tab w:val="left" w:pos="-1800"/>
                <w:tab w:val="left" w:pos="1080"/>
                <w:tab w:val="left" w:pos="1800"/>
                <w:tab w:val="left" w:pos="6300"/>
              </w:tabs>
              <w:spacing w:before="40" w:after="40"/>
              <w:rPr>
                <w:rFonts w:ascii="Calibri" w:hAnsi="Calibri" w:cs="Calibri"/>
                <w:bCs/>
                <w:iCs/>
                <w:sz w:val="20"/>
                <w:szCs w:val="20"/>
              </w:rPr>
            </w:pPr>
            <w:r w:rsidRPr="00811B3C">
              <w:rPr>
                <w:rFonts w:ascii="Calibri" w:hAnsi="Calibri" w:cs="Calibri"/>
                <w:bCs/>
                <w:sz w:val="20"/>
                <w:szCs w:val="20"/>
              </w:rPr>
              <w:t>Titolare o Legale rappresentante</w:t>
            </w:r>
          </w:p>
        </w:tc>
      </w:tr>
      <w:tr w:rsidR="00BF24E2" w:rsidRPr="00811B3C" w14:paraId="4D565F52" w14:textId="77777777" w:rsidTr="001A5B06">
        <w:trPr>
          <w:jc w:val="center"/>
        </w:trPr>
        <w:tc>
          <w:tcPr>
            <w:tcW w:w="562" w:type="dxa"/>
            <w:shd w:val="clear" w:color="auto" w:fill="auto"/>
          </w:tcPr>
          <w:p w14:paraId="7AD640F8" w14:textId="77777777" w:rsidR="00BF24E2" w:rsidRPr="00811B3C" w:rsidRDefault="00BF24E2" w:rsidP="001A5B06">
            <w:pPr>
              <w:tabs>
                <w:tab w:val="left" w:pos="-1800"/>
                <w:tab w:val="left" w:pos="1080"/>
                <w:tab w:val="left" w:pos="1800"/>
                <w:tab w:val="left" w:pos="6300"/>
              </w:tabs>
              <w:autoSpaceDE w:val="0"/>
              <w:autoSpaceDN w:val="0"/>
              <w:jc w:val="center"/>
              <w:rPr>
                <w:rFonts w:ascii="Calibri" w:hAnsi="Calibri" w:cs="Calibri"/>
                <w:bCs/>
                <w:iCs/>
                <w:sz w:val="20"/>
                <w:szCs w:val="20"/>
              </w:rPr>
            </w:pPr>
            <w:r w:rsidRPr="00811B3C">
              <w:rPr>
                <w:rFonts w:ascii="Calibri" w:hAnsi="Calibri" w:cs="Calibri"/>
                <w:bCs/>
                <w:sz w:val="32"/>
                <w:szCs w:val="32"/>
              </w:rPr>
              <w:t>□</w:t>
            </w:r>
          </w:p>
        </w:tc>
        <w:tc>
          <w:tcPr>
            <w:tcW w:w="9292" w:type="dxa"/>
            <w:gridSpan w:val="2"/>
            <w:shd w:val="clear" w:color="auto" w:fill="auto"/>
            <w:vAlign w:val="center"/>
          </w:tcPr>
          <w:p w14:paraId="088765BB" w14:textId="77777777" w:rsidR="00BF24E2" w:rsidRPr="00811B3C" w:rsidRDefault="00BF24E2" w:rsidP="001A5B06">
            <w:pPr>
              <w:tabs>
                <w:tab w:val="left" w:pos="-1800"/>
                <w:tab w:val="left" w:pos="1080"/>
                <w:tab w:val="left" w:pos="1800"/>
                <w:tab w:val="left" w:pos="6300"/>
              </w:tabs>
              <w:spacing w:before="40" w:after="40"/>
              <w:rPr>
                <w:rFonts w:ascii="Calibri" w:hAnsi="Calibri" w:cs="Calibri"/>
                <w:bCs/>
                <w:iCs/>
                <w:sz w:val="20"/>
                <w:szCs w:val="20"/>
              </w:rPr>
            </w:pPr>
            <w:r w:rsidRPr="00811B3C">
              <w:rPr>
                <w:rFonts w:ascii="Calibri" w:hAnsi="Calibri" w:cs="Calibri"/>
                <w:bCs/>
                <w:sz w:val="20"/>
                <w:szCs w:val="20"/>
              </w:rPr>
              <w:t>Procuratore</w:t>
            </w:r>
          </w:p>
        </w:tc>
      </w:tr>
      <w:tr w:rsidR="00BF24E2" w:rsidRPr="00811B3C" w14:paraId="146BF9A5" w14:textId="77777777" w:rsidTr="001A5B06">
        <w:trPr>
          <w:jc w:val="center"/>
        </w:trPr>
        <w:tc>
          <w:tcPr>
            <w:tcW w:w="3397" w:type="dxa"/>
            <w:gridSpan w:val="2"/>
            <w:shd w:val="clear" w:color="auto" w:fill="auto"/>
          </w:tcPr>
          <w:p w14:paraId="0593A2F6" w14:textId="77777777" w:rsidR="00BF24E2" w:rsidRPr="00811B3C" w:rsidRDefault="00BF24E2" w:rsidP="001A5B06">
            <w:pPr>
              <w:tabs>
                <w:tab w:val="left" w:pos="-1800"/>
                <w:tab w:val="left" w:pos="1080"/>
                <w:tab w:val="left" w:pos="1800"/>
                <w:tab w:val="left" w:pos="6300"/>
              </w:tabs>
              <w:spacing w:before="40" w:after="40"/>
              <w:rPr>
                <w:rFonts w:ascii="Calibri" w:hAnsi="Calibri" w:cs="Calibri"/>
                <w:bCs/>
                <w:i/>
                <w:iCs/>
                <w:sz w:val="20"/>
                <w:szCs w:val="20"/>
              </w:rPr>
            </w:pPr>
            <w:r w:rsidRPr="00811B3C">
              <w:rPr>
                <w:rFonts w:ascii="Calibri" w:hAnsi="Calibri" w:cs="Calibri"/>
                <w:bCs/>
                <w:sz w:val="20"/>
                <w:szCs w:val="20"/>
              </w:rPr>
              <w:t>Del concorrente</w:t>
            </w:r>
          </w:p>
        </w:tc>
        <w:tc>
          <w:tcPr>
            <w:tcW w:w="6457" w:type="dxa"/>
            <w:shd w:val="clear" w:color="auto" w:fill="auto"/>
          </w:tcPr>
          <w:p w14:paraId="0BDF6680" w14:textId="77777777" w:rsidR="00BF24E2" w:rsidRPr="00811B3C" w:rsidRDefault="00BF24E2" w:rsidP="001A5B06">
            <w:pPr>
              <w:tabs>
                <w:tab w:val="left" w:pos="-1800"/>
                <w:tab w:val="left" w:pos="1080"/>
                <w:tab w:val="left" w:pos="1800"/>
                <w:tab w:val="left" w:pos="6300"/>
              </w:tabs>
              <w:spacing w:before="40" w:after="40"/>
              <w:rPr>
                <w:rFonts w:ascii="Calibri" w:hAnsi="Calibri" w:cs="Calibri"/>
                <w:bCs/>
                <w:i/>
                <w:iCs/>
                <w:sz w:val="20"/>
                <w:szCs w:val="20"/>
              </w:rPr>
            </w:pPr>
          </w:p>
        </w:tc>
      </w:tr>
    </w:tbl>
    <w:p w14:paraId="0D54EAD0" w14:textId="77777777" w:rsidR="00BF24E2" w:rsidRPr="00811B3C" w:rsidRDefault="00BF24E2" w:rsidP="00BF24E2">
      <w:pPr>
        <w:contextualSpacing/>
        <w:rPr>
          <w:rFonts w:ascii="Calibri" w:eastAsia="Calibri" w:hAnsi="Calibri" w:cs="Arial"/>
          <w:smallCaps/>
          <w:sz w:val="20"/>
          <w:szCs w:val="16"/>
          <w:bdr w:val="single" w:sz="4" w:space="0" w:color="auto"/>
        </w:rPr>
      </w:pPr>
    </w:p>
    <w:p w14:paraId="0DC0E610" w14:textId="77777777" w:rsidR="00BF24E2" w:rsidRDefault="00BF24E2" w:rsidP="00BF24E2">
      <w:pPr>
        <w:widowControl w:val="0"/>
        <w:rPr>
          <w:rFonts w:ascii="Calibri" w:hAnsi="Calibri" w:cs="Arial"/>
          <w:sz w:val="22"/>
          <w:szCs w:val="22"/>
        </w:rPr>
      </w:pPr>
      <w:r w:rsidRPr="007E4103">
        <w:rPr>
          <w:rFonts w:ascii="Calibri" w:hAnsi="Calibri" w:cs="Arial"/>
          <w:sz w:val="22"/>
          <w:szCs w:val="22"/>
        </w:rPr>
        <w:t xml:space="preserve">consapevole della responsabilità penale cui può andare incontro in caso di dichiarazione falsa o comunque non corrispondente al vero (art. 76 del D.P.R. n. 445 del 28/12/2000), ai sensi del D.P.R. n. 445 del 28/12/2000 e </w:t>
      </w:r>
      <w:proofErr w:type="spellStart"/>
      <w:r w:rsidRPr="007E4103">
        <w:rPr>
          <w:rFonts w:ascii="Calibri" w:hAnsi="Calibri" w:cs="Arial"/>
          <w:sz w:val="22"/>
          <w:szCs w:val="22"/>
        </w:rPr>
        <w:t>ss.mm.ii</w:t>
      </w:r>
      <w:proofErr w:type="spellEnd"/>
      <w:r w:rsidRPr="007E4103">
        <w:rPr>
          <w:rFonts w:ascii="Calibri" w:hAnsi="Calibri" w:cs="Arial"/>
          <w:sz w:val="22"/>
          <w:szCs w:val="22"/>
        </w:rPr>
        <w:t>. e in ottemperanza a quanto disposto dall’art. 27 comma 2 del Decreto-Legge 24 febbraio 2023, n. 13 recante “Disposizioni urgenti per l'attuazione del Piano nazionale di ripresa e resilienza (PNRR) e del Piano nazionale degli investimenti complementari al PNRR (PNC), nonché per l'attuazione delle politiche di coesione e della politica agricola comune”</w:t>
      </w:r>
    </w:p>
    <w:p w14:paraId="3C46A5A4" w14:textId="77777777" w:rsidR="00BF24E2" w:rsidRDefault="00BF24E2" w:rsidP="00BF24E2">
      <w:pPr>
        <w:widowControl w:val="0"/>
        <w:rPr>
          <w:rFonts w:ascii="Calibri" w:hAnsi="Calibri" w:cs="Arial"/>
          <w:sz w:val="22"/>
          <w:szCs w:val="22"/>
        </w:rPr>
      </w:pPr>
    </w:p>
    <w:p w14:paraId="7D4D5665" w14:textId="77777777" w:rsidR="00BF24E2" w:rsidRDefault="00BF24E2" w:rsidP="00BF24E2">
      <w:pPr>
        <w:widowControl w:val="0"/>
        <w:jc w:val="center"/>
        <w:rPr>
          <w:rFonts w:ascii="Calibri" w:hAnsi="Calibri" w:cs="Arial"/>
          <w:b/>
          <w:bCs/>
          <w:sz w:val="22"/>
          <w:szCs w:val="22"/>
        </w:rPr>
      </w:pPr>
      <w:r w:rsidRPr="007E4103">
        <w:rPr>
          <w:rFonts w:ascii="Calibri" w:hAnsi="Calibri" w:cs="Arial"/>
          <w:b/>
          <w:bCs/>
          <w:sz w:val="22"/>
          <w:szCs w:val="22"/>
        </w:rPr>
        <w:t>DICHIARA</w:t>
      </w:r>
    </w:p>
    <w:p w14:paraId="1AF86E62" w14:textId="77777777" w:rsidR="00BF24E2" w:rsidRDefault="00BF24E2" w:rsidP="00BF24E2">
      <w:pPr>
        <w:widowControl w:val="0"/>
        <w:jc w:val="center"/>
        <w:rPr>
          <w:rFonts w:ascii="Calibri" w:hAnsi="Calibri" w:cs="Arial"/>
          <w:b/>
          <w:bCs/>
          <w:sz w:val="22"/>
          <w:szCs w:val="22"/>
        </w:rPr>
      </w:pPr>
    </w:p>
    <w:p w14:paraId="47AF6BA9" w14:textId="77777777" w:rsidR="00BF24E2" w:rsidRDefault="00BF24E2" w:rsidP="00BF24E2">
      <w:pPr>
        <w:widowControl w:val="0"/>
        <w:rPr>
          <w:rFonts w:cstheme="minorHAnsi"/>
          <w:sz w:val="22"/>
          <w:szCs w:val="22"/>
        </w:rPr>
      </w:pPr>
      <w:r w:rsidRPr="003B7738">
        <w:rPr>
          <w:rFonts w:cstheme="minorHAnsi"/>
          <w:sz w:val="22"/>
          <w:szCs w:val="22"/>
        </w:rPr>
        <w:t xml:space="preserve">che il bene </w:t>
      </w:r>
      <w:r>
        <w:rPr>
          <w:rFonts w:cstheme="minorHAnsi"/>
          <w:sz w:val="22"/>
          <w:szCs w:val="22"/>
        </w:rPr>
        <w:t>offerto,</w:t>
      </w:r>
      <w:r w:rsidRPr="003B7738">
        <w:rPr>
          <w:rFonts w:cstheme="minorHAnsi"/>
          <w:sz w:val="22"/>
          <w:szCs w:val="22"/>
        </w:rPr>
        <w:t xml:space="preserve"> relativo all’affidamento indicato in oggetto</w:t>
      </w:r>
      <w:r>
        <w:rPr>
          <w:rFonts w:cstheme="minorHAnsi"/>
          <w:sz w:val="22"/>
          <w:szCs w:val="22"/>
        </w:rPr>
        <w:t>,</w:t>
      </w:r>
      <w:r w:rsidRPr="003B7738">
        <w:rPr>
          <w:rFonts w:cstheme="minorHAnsi"/>
          <w:sz w:val="22"/>
          <w:szCs w:val="22"/>
        </w:rPr>
        <w:t xml:space="preserve"> è coerente  con i principi e gli obblighi per il rispetto del principio DNSH di cui all’art. 17 del Reg. (UE) 2020/852</w:t>
      </w:r>
      <w:bookmarkEnd w:id="0"/>
      <w:r>
        <w:rPr>
          <w:rFonts w:cstheme="minorHAnsi"/>
          <w:sz w:val="22"/>
          <w:szCs w:val="22"/>
        </w:rPr>
        <w:t xml:space="preserve"> e che </w:t>
      </w:r>
      <w:r w:rsidRPr="001F5AAA">
        <w:rPr>
          <w:rFonts w:cstheme="minorHAnsi"/>
          <w:sz w:val="22"/>
          <w:szCs w:val="22"/>
        </w:rPr>
        <w:t xml:space="preserve">le attività economiche </w:t>
      </w:r>
      <w:r>
        <w:rPr>
          <w:rFonts w:cstheme="minorHAnsi"/>
          <w:sz w:val="22"/>
          <w:szCs w:val="22"/>
        </w:rPr>
        <w:t xml:space="preserve">inerenti il bene offerto </w:t>
      </w:r>
      <w:r w:rsidRPr="001F5AAA">
        <w:rPr>
          <w:rFonts w:cstheme="minorHAnsi"/>
          <w:sz w:val="22"/>
          <w:szCs w:val="22"/>
        </w:rPr>
        <w:t>rispettano il principio DNSH di “</w:t>
      </w:r>
      <w:r w:rsidRPr="001F5AAA">
        <w:rPr>
          <w:rFonts w:cstheme="minorHAnsi"/>
          <w:i/>
          <w:iCs/>
          <w:sz w:val="22"/>
          <w:szCs w:val="22"/>
        </w:rPr>
        <w:t>Prevenzione e riduzione dell’inquinamento</w:t>
      </w:r>
      <w:r w:rsidRPr="001F5AAA">
        <w:rPr>
          <w:rFonts w:cstheme="minorHAnsi"/>
          <w:sz w:val="22"/>
          <w:szCs w:val="22"/>
        </w:rPr>
        <w:t xml:space="preserve">” </w:t>
      </w:r>
      <w:r>
        <w:rPr>
          <w:rFonts w:cstheme="minorHAnsi"/>
          <w:sz w:val="22"/>
          <w:szCs w:val="22"/>
        </w:rPr>
        <w:t xml:space="preserve">in quanto </w:t>
      </w:r>
      <w:r w:rsidRPr="001F5AAA">
        <w:rPr>
          <w:rFonts w:cstheme="minorHAnsi"/>
          <w:sz w:val="22"/>
          <w:szCs w:val="22"/>
        </w:rPr>
        <w:t xml:space="preserve">non comportano la fabbricazione, l’immissione in commercio o l’uso di: </w:t>
      </w:r>
    </w:p>
    <w:p w14:paraId="2FC205DE" w14:textId="77777777" w:rsidR="00BF24E2" w:rsidRDefault="00BF24E2" w:rsidP="00BF24E2">
      <w:pPr>
        <w:widowControl w:val="0"/>
        <w:rPr>
          <w:rFonts w:cstheme="minorHAnsi"/>
          <w:sz w:val="22"/>
          <w:szCs w:val="22"/>
        </w:rPr>
      </w:pPr>
    </w:p>
    <w:p w14:paraId="4167D676" w14:textId="77777777" w:rsidR="00BF24E2" w:rsidRDefault="00BF24E2" w:rsidP="00BF24E2">
      <w:pPr>
        <w:pStyle w:val="Paragrafoelenco"/>
        <w:widowControl w:val="0"/>
        <w:numPr>
          <w:ilvl w:val="0"/>
          <w:numId w:val="17"/>
        </w:numPr>
        <w:contextualSpacing w:val="0"/>
        <w:jc w:val="both"/>
        <w:rPr>
          <w:rFonts w:cstheme="minorHAnsi"/>
          <w:sz w:val="22"/>
          <w:szCs w:val="22"/>
        </w:rPr>
      </w:pPr>
      <w:r w:rsidRPr="001F5AAA">
        <w:rPr>
          <w:rFonts w:cstheme="minorHAnsi"/>
          <w:sz w:val="22"/>
          <w:szCs w:val="22"/>
        </w:rPr>
        <w:t>sostanze, sia allo stato puro che all’interno di miscele o di articoli, elencate nell’allegato I o II del regolamento (UE) 2019/1021, tranne nel caso di sostanze presenti sotto forma di contaminanti non intenzionali in tracce (link ove consultare il regolamento https://eur- lex.europa.eu/</w:t>
      </w:r>
      <w:proofErr w:type="spellStart"/>
      <w:r w:rsidRPr="001F5AAA">
        <w:rPr>
          <w:rFonts w:cstheme="minorHAnsi"/>
          <w:sz w:val="22"/>
          <w:szCs w:val="22"/>
        </w:rPr>
        <w:t>legalcontent</w:t>
      </w:r>
      <w:proofErr w:type="spellEnd"/>
      <w:r w:rsidRPr="001F5AAA">
        <w:rPr>
          <w:rFonts w:cstheme="minorHAnsi"/>
          <w:sz w:val="22"/>
          <w:szCs w:val="22"/>
        </w:rPr>
        <w:t>/IT/TXT/PDF/?uri=CELEX:32019R1021);</w:t>
      </w:r>
    </w:p>
    <w:p w14:paraId="479B4B47" w14:textId="77777777" w:rsidR="00BF24E2" w:rsidRDefault="00BF24E2" w:rsidP="00BF24E2">
      <w:pPr>
        <w:pStyle w:val="Paragrafoelenco"/>
        <w:widowControl w:val="0"/>
        <w:numPr>
          <w:ilvl w:val="0"/>
          <w:numId w:val="17"/>
        </w:numPr>
        <w:contextualSpacing w:val="0"/>
        <w:jc w:val="both"/>
        <w:rPr>
          <w:rFonts w:cstheme="minorHAnsi"/>
          <w:sz w:val="22"/>
          <w:szCs w:val="22"/>
        </w:rPr>
      </w:pPr>
      <w:r w:rsidRPr="001F5AAA">
        <w:rPr>
          <w:rFonts w:cstheme="minorHAnsi"/>
          <w:sz w:val="22"/>
          <w:szCs w:val="22"/>
        </w:rPr>
        <w:t xml:space="preserve">mercurio, composti del mercurio, miscele di mercurio e prodotti con aggiunta di mercurio, quali definiti all’articolo 2 del regolamento (UE) 2017/852; </w:t>
      </w:r>
    </w:p>
    <w:p w14:paraId="2BA3B78A" w14:textId="77777777" w:rsidR="00BF24E2" w:rsidRDefault="00BF24E2" w:rsidP="00BF24E2">
      <w:pPr>
        <w:pStyle w:val="Paragrafoelenco"/>
        <w:widowControl w:val="0"/>
        <w:numPr>
          <w:ilvl w:val="0"/>
          <w:numId w:val="17"/>
        </w:numPr>
        <w:contextualSpacing w:val="0"/>
        <w:jc w:val="both"/>
        <w:rPr>
          <w:rFonts w:cstheme="minorHAnsi"/>
          <w:sz w:val="22"/>
          <w:szCs w:val="22"/>
        </w:rPr>
      </w:pPr>
      <w:r w:rsidRPr="001F5AAA">
        <w:rPr>
          <w:rFonts w:cstheme="minorHAnsi"/>
          <w:sz w:val="22"/>
          <w:szCs w:val="22"/>
        </w:rPr>
        <w:t xml:space="preserve">sostanze, sia allo stato puro che all’interno di miscele o di articoli, elencate nell’allegato I o II del regolamento (CE) n. 1005/2009 (link ove consultare il regolamento </w:t>
      </w:r>
      <w:hyperlink r:id="rId10" w:history="1">
        <w:r w:rsidRPr="001F5AAA">
          <w:rPr>
            <w:rStyle w:val="Collegamentoipertestuale"/>
            <w:rFonts w:cstheme="minorHAnsi"/>
            <w:sz w:val="22"/>
            <w:szCs w:val="22"/>
          </w:rPr>
          <w:t>https://eurlex.europa.eu/legal-content/IT/TXT/PDF/?uri=CELEX:32009R1005&amp;from=IT</w:t>
        </w:r>
      </w:hyperlink>
      <w:r w:rsidRPr="001F5AAA">
        <w:rPr>
          <w:rFonts w:cstheme="minorHAnsi"/>
          <w:sz w:val="22"/>
          <w:szCs w:val="22"/>
        </w:rPr>
        <w:t xml:space="preserve">); </w:t>
      </w:r>
    </w:p>
    <w:p w14:paraId="42C4ED51" w14:textId="77777777" w:rsidR="00BF24E2" w:rsidRDefault="00BF24E2" w:rsidP="00BF24E2">
      <w:pPr>
        <w:pStyle w:val="Paragrafoelenco"/>
        <w:widowControl w:val="0"/>
        <w:numPr>
          <w:ilvl w:val="0"/>
          <w:numId w:val="17"/>
        </w:numPr>
        <w:contextualSpacing w:val="0"/>
        <w:jc w:val="both"/>
        <w:rPr>
          <w:rFonts w:cstheme="minorHAnsi"/>
          <w:sz w:val="22"/>
          <w:szCs w:val="22"/>
        </w:rPr>
      </w:pPr>
      <w:r w:rsidRPr="001F5AAA">
        <w:rPr>
          <w:rFonts w:cstheme="minorHAnsi"/>
          <w:sz w:val="22"/>
          <w:szCs w:val="22"/>
        </w:rPr>
        <w:t xml:space="preserve">sostanze, sia allo stato puro che all’interno di miscele o di articoli, elencate nell’allegato II della direttiva 2011/65/UE, tranne quando è garantito il pieno rispetto dell’articolo 4, paragrafo 1, di tale direttiva (link </w:t>
      </w:r>
      <w:r w:rsidRPr="001F5AAA">
        <w:rPr>
          <w:rFonts w:cstheme="minorHAnsi"/>
          <w:sz w:val="22"/>
          <w:szCs w:val="22"/>
        </w:rPr>
        <w:lastRenderedPageBreak/>
        <w:t xml:space="preserve">ove consultare il regolamento </w:t>
      </w:r>
      <w:hyperlink r:id="rId11" w:history="1">
        <w:r w:rsidRPr="001F5AAA">
          <w:rPr>
            <w:rStyle w:val="Collegamentoipertestuale"/>
            <w:rFonts w:cstheme="minorHAnsi"/>
            <w:sz w:val="22"/>
            <w:szCs w:val="22"/>
          </w:rPr>
          <w:t>https://eurlex.europa.eu/LexUriServ/LexUriServ.do?uri=OJ:L:2011:174:0088:0110:IT:PDF</w:t>
        </w:r>
      </w:hyperlink>
      <w:r w:rsidRPr="001F5AAA">
        <w:rPr>
          <w:rFonts w:cstheme="minorHAnsi"/>
          <w:sz w:val="22"/>
          <w:szCs w:val="22"/>
        </w:rPr>
        <w:t xml:space="preserve">) </w:t>
      </w:r>
    </w:p>
    <w:p w14:paraId="17D12182" w14:textId="77777777" w:rsidR="00BF24E2" w:rsidRDefault="00BF24E2" w:rsidP="00BF24E2">
      <w:pPr>
        <w:pStyle w:val="Paragrafoelenco"/>
        <w:widowControl w:val="0"/>
        <w:numPr>
          <w:ilvl w:val="0"/>
          <w:numId w:val="17"/>
        </w:numPr>
        <w:contextualSpacing w:val="0"/>
        <w:jc w:val="both"/>
        <w:rPr>
          <w:rFonts w:cstheme="minorHAnsi"/>
          <w:sz w:val="22"/>
          <w:szCs w:val="22"/>
        </w:rPr>
      </w:pPr>
      <w:r w:rsidRPr="001F5AAA">
        <w:rPr>
          <w:rFonts w:cstheme="minorHAnsi"/>
          <w:sz w:val="22"/>
          <w:szCs w:val="22"/>
        </w:rPr>
        <w:t xml:space="preserve">sostanze, sia allo stato puro che all’interno di miscele o di un articolo, elencate nell’allegato XVII del regolamento (CE) n. 1907/2006, tranne quando è garantito il pieno rispetto delle condizioni di cui a tale allegato: </w:t>
      </w:r>
      <w:hyperlink r:id="rId12" w:history="1">
        <w:r w:rsidRPr="001F5AAA">
          <w:rPr>
            <w:rStyle w:val="Collegamentoipertestuale"/>
            <w:rFonts w:cstheme="minorHAnsi"/>
            <w:sz w:val="22"/>
            <w:szCs w:val="22"/>
          </w:rPr>
          <w:t>https://eur-lex.europa.eu/legalcontent/IT/TXT/PDF/?uri=CELEX:32006R1907R(01)</w:t>
        </w:r>
      </w:hyperlink>
      <w:r w:rsidRPr="001F5AAA">
        <w:rPr>
          <w:rFonts w:cstheme="minorHAnsi"/>
          <w:sz w:val="22"/>
          <w:szCs w:val="22"/>
        </w:rPr>
        <w:t xml:space="preserve">; </w:t>
      </w:r>
    </w:p>
    <w:p w14:paraId="4CFF2CFA" w14:textId="77777777" w:rsidR="00BF24E2" w:rsidRDefault="00BF24E2" w:rsidP="00BF24E2">
      <w:pPr>
        <w:pStyle w:val="Paragrafoelenco"/>
        <w:widowControl w:val="0"/>
        <w:numPr>
          <w:ilvl w:val="0"/>
          <w:numId w:val="17"/>
        </w:numPr>
        <w:contextualSpacing w:val="0"/>
        <w:jc w:val="both"/>
        <w:rPr>
          <w:rFonts w:cstheme="minorHAnsi"/>
          <w:sz w:val="22"/>
          <w:szCs w:val="22"/>
        </w:rPr>
      </w:pPr>
      <w:r w:rsidRPr="001F5AAA">
        <w:rPr>
          <w:rFonts w:cstheme="minorHAnsi"/>
          <w:sz w:val="22"/>
          <w:szCs w:val="22"/>
        </w:rPr>
        <w:t>sostanze, sia allo stato puro che all’interno di miscele o di articoli, in concentrazione superiore a 0,1% peso/peso, che soddisfano i criteri di cui all’articolo 57 del regolamento (CE) n. 1907/2006, che sono state identificate a norma dell’articolo 59, paragrafo 1, di tale regolamento, per un periodo di almeno 18 mesi, tranne</w:t>
      </w:r>
      <w:r>
        <w:rPr>
          <w:rFonts w:cstheme="minorHAnsi"/>
          <w:sz w:val="22"/>
          <w:szCs w:val="22"/>
        </w:rPr>
        <w:t xml:space="preserve"> </w:t>
      </w:r>
      <w:r w:rsidRPr="001F5AAA">
        <w:rPr>
          <w:rFonts w:cstheme="minorHAnsi"/>
          <w:sz w:val="22"/>
          <w:szCs w:val="22"/>
        </w:rPr>
        <w:t>se gli operatori valutano e documentano che non è disponibile sul mercato nessun’altra sostanza o tecnologia alternativa adatta e che sono usate in condizioni controllate. Si tratta di quelle elencate nell’</w:t>
      </w:r>
      <w:proofErr w:type="spellStart"/>
      <w:r w:rsidRPr="001F5AAA">
        <w:rPr>
          <w:rFonts w:cstheme="minorHAnsi"/>
          <w:sz w:val="22"/>
          <w:szCs w:val="22"/>
        </w:rPr>
        <w:t>Authorization</w:t>
      </w:r>
      <w:proofErr w:type="spellEnd"/>
      <w:r w:rsidRPr="001F5AAA">
        <w:rPr>
          <w:rFonts w:cstheme="minorHAnsi"/>
          <w:sz w:val="22"/>
          <w:szCs w:val="22"/>
        </w:rPr>
        <w:t xml:space="preserve"> List del Regolamento Reach consultabili al link </w:t>
      </w:r>
      <w:hyperlink r:id="rId13" w:history="1">
        <w:r w:rsidRPr="001F5AAA">
          <w:rPr>
            <w:rStyle w:val="Collegamentoipertestuale"/>
            <w:rFonts w:cstheme="minorHAnsi"/>
            <w:sz w:val="22"/>
            <w:szCs w:val="22"/>
          </w:rPr>
          <w:t>https://echa.europa.eu/it/candidate-list-table</w:t>
        </w:r>
      </w:hyperlink>
      <w:r w:rsidRPr="001F5AAA">
        <w:rPr>
          <w:rFonts w:cstheme="minorHAnsi"/>
          <w:sz w:val="22"/>
          <w:szCs w:val="22"/>
        </w:rPr>
        <w:t xml:space="preserve">; </w:t>
      </w:r>
    </w:p>
    <w:p w14:paraId="746D47DC" w14:textId="77777777" w:rsidR="00BF24E2" w:rsidRPr="001F5AAA" w:rsidRDefault="00BF24E2" w:rsidP="00BF24E2">
      <w:pPr>
        <w:pStyle w:val="Paragrafoelenco"/>
        <w:widowControl w:val="0"/>
        <w:numPr>
          <w:ilvl w:val="0"/>
          <w:numId w:val="17"/>
        </w:numPr>
        <w:contextualSpacing w:val="0"/>
        <w:jc w:val="both"/>
        <w:rPr>
          <w:rFonts w:cstheme="minorHAnsi"/>
          <w:sz w:val="22"/>
          <w:szCs w:val="22"/>
        </w:rPr>
      </w:pPr>
      <w:r w:rsidRPr="001F5AAA">
        <w:rPr>
          <w:rFonts w:cstheme="minorHAnsi"/>
          <w:sz w:val="22"/>
          <w:szCs w:val="22"/>
        </w:rPr>
        <w:t xml:space="preserve">altre sostanze, sia allo stato puro che all’interno di miscele o di un articolo, che soddisfano i criteri di cui all’art.57 del regolamento (CE) n. 1907/2006, tranne quando il loro uso si sia dimostrato essenziale per la società. </w:t>
      </w:r>
    </w:p>
    <w:p w14:paraId="1F6AC958" w14:textId="77777777" w:rsidR="00BF24E2" w:rsidRDefault="00BF24E2" w:rsidP="00BF24E2">
      <w:pPr>
        <w:widowControl w:val="0"/>
        <w:rPr>
          <w:rFonts w:cstheme="minorHAnsi"/>
          <w:sz w:val="22"/>
          <w:szCs w:val="22"/>
        </w:rPr>
      </w:pPr>
    </w:p>
    <w:p w14:paraId="5EBB09B6" w14:textId="77777777" w:rsidR="00BF24E2" w:rsidRDefault="00BF24E2" w:rsidP="00BF24E2">
      <w:pPr>
        <w:pStyle w:val="Corpodeltesto1"/>
        <w:spacing w:before="120" w:line="360" w:lineRule="exact"/>
        <w:jc w:val="center"/>
        <w:rPr>
          <w:rFonts w:asciiTheme="minorHAnsi" w:hAnsiTheme="minorHAnsi" w:cstheme="minorHAnsi"/>
          <w:b/>
          <w:bCs/>
          <w:sz w:val="22"/>
          <w:szCs w:val="22"/>
        </w:rPr>
      </w:pPr>
      <w:r w:rsidRPr="00DB1588">
        <w:rPr>
          <w:rFonts w:asciiTheme="minorHAnsi" w:hAnsiTheme="minorHAnsi" w:cstheme="minorHAnsi"/>
          <w:b/>
          <w:bCs/>
          <w:caps/>
          <w:sz w:val="22"/>
          <w:szCs w:val="22"/>
        </w:rPr>
        <w:t>Dichiara</w:t>
      </w:r>
      <w:r w:rsidRPr="00DB1588">
        <w:rPr>
          <w:rFonts w:asciiTheme="minorHAnsi" w:hAnsiTheme="minorHAnsi" w:cstheme="minorHAnsi"/>
          <w:b/>
          <w:bCs/>
          <w:sz w:val="22"/>
          <w:szCs w:val="22"/>
        </w:rPr>
        <w:t xml:space="preserve"> </w:t>
      </w:r>
      <w:r>
        <w:rPr>
          <w:rFonts w:asciiTheme="minorHAnsi" w:hAnsiTheme="minorHAnsi" w:cstheme="minorHAnsi"/>
          <w:b/>
          <w:bCs/>
          <w:sz w:val="22"/>
          <w:szCs w:val="22"/>
        </w:rPr>
        <w:t>INOLTRE</w:t>
      </w:r>
    </w:p>
    <w:p w14:paraId="487075AA" w14:textId="77777777" w:rsidR="00BF24E2" w:rsidRDefault="00BF24E2" w:rsidP="00BF24E2">
      <w:pPr>
        <w:widowControl w:val="0"/>
        <w:rPr>
          <w:rFonts w:cstheme="minorHAnsi"/>
          <w:sz w:val="22"/>
          <w:szCs w:val="22"/>
        </w:rPr>
      </w:pPr>
    </w:p>
    <w:p w14:paraId="1D5EDFD7" w14:textId="77777777" w:rsidR="00BF24E2" w:rsidRDefault="00BF24E2" w:rsidP="00BF24E2">
      <w:pPr>
        <w:widowControl w:val="0"/>
        <w:rPr>
          <w:rFonts w:cstheme="minorHAnsi"/>
          <w:sz w:val="22"/>
          <w:szCs w:val="22"/>
        </w:rPr>
      </w:pPr>
      <w:r>
        <w:rPr>
          <w:rFonts w:cstheme="minorHAnsi"/>
          <w:sz w:val="22"/>
          <w:szCs w:val="22"/>
        </w:rPr>
        <w:t xml:space="preserve">che </w:t>
      </w:r>
      <w:r w:rsidRPr="001F5AAA">
        <w:rPr>
          <w:rFonts w:cstheme="minorHAnsi"/>
          <w:sz w:val="22"/>
          <w:szCs w:val="22"/>
        </w:rPr>
        <w:t>l’attività non comporta la fabbricazione, la presenza nel prodotto finale o nel risultato, o l’immissione sul mercato di altre sostanze, sia allo stato puro che all’interno di miscele o di articoli, in concentrazione superiore a 0,1 % peso/peso, che soddisfano i criteri del regolamento (CE) n. 1272/2008 per una delle classi di pericolo o delle categorie di pericolo di cui all’articolo 57 del regolamento (CE) n. 1907/2006, tranne se gli operatori hanno valutato e documentato che non è disponibile sul mercato nessun’altra sostanza o tecnologia alternativa adatta, e che sono usate in condizioni controllate.</w:t>
      </w:r>
    </w:p>
    <w:p w14:paraId="5BBDEFDB" w14:textId="77777777" w:rsidR="00BF24E2" w:rsidRDefault="00BF24E2" w:rsidP="00BF24E2">
      <w:pPr>
        <w:widowControl w:val="0"/>
        <w:rPr>
          <w:rFonts w:cstheme="minorHAnsi"/>
          <w:sz w:val="22"/>
          <w:szCs w:val="22"/>
        </w:rPr>
      </w:pPr>
    </w:p>
    <w:p w14:paraId="20A7799B" w14:textId="77777777" w:rsidR="00BF24E2" w:rsidRDefault="00BF24E2" w:rsidP="00BF24E2">
      <w:pPr>
        <w:widowControl w:val="0"/>
        <w:rPr>
          <w:rFonts w:cstheme="minorHAnsi"/>
          <w:sz w:val="22"/>
          <w:szCs w:val="22"/>
        </w:rPr>
      </w:pPr>
    </w:p>
    <w:p w14:paraId="53F0E901" w14:textId="77777777" w:rsidR="00BF24E2" w:rsidRDefault="00BF24E2" w:rsidP="00BF24E2">
      <w:pPr>
        <w:widowControl w:val="0"/>
        <w:rPr>
          <w:rFonts w:cstheme="minorHAnsi"/>
          <w:sz w:val="22"/>
          <w:szCs w:val="22"/>
        </w:rPr>
      </w:pPr>
    </w:p>
    <w:p w14:paraId="5C279FF5" w14:textId="77777777" w:rsidR="00BF24E2" w:rsidRDefault="00BF24E2" w:rsidP="00BF24E2">
      <w:pPr>
        <w:widowControl w:val="0"/>
        <w:rPr>
          <w:rFonts w:cstheme="minorHAnsi"/>
          <w:sz w:val="22"/>
          <w:szCs w:val="22"/>
        </w:rPr>
      </w:pPr>
    </w:p>
    <w:p w14:paraId="7730569D" w14:textId="77777777" w:rsidR="00BF24E2" w:rsidRPr="00855501" w:rsidRDefault="00BF24E2" w:rsidP="00BF24E2">
      <w:pPr>
        <w:widowControl w:val="0"/>
        <w:jc w:val="right"/>
        <w:rPr>
          <w:rFonts w:ascii="Calibri" w:eastAsia="Calibri" w:hAnsi="Calibri" w:cs="Calibri"/>
          <w:sz w:val="20"/>
          <w:szCs w:val="20"/>
        </w:rPr>
      </w:pPr>
      <w:r w:rsidRPr="000E1298">
        <w:rPr>
          <w:rFonts w:ascii="Calibri" w:eastAsia="Calibri" w:hAnsi="Calibri" w:cs="Calibri"/>
          <w:sz w:val="20"/>
          <w:szCs w:val="20"/>
        </w:rPr>
        <w:t>Firma digitale</w:t>
      </w:r>
      <w:r w:rsidRPr="000E1298">
        <w:rPr>
          <w:rFonts w:ascii="Calibri" w:eastAsia="Calibri" w:hAnsi="Calibri" w:cs="Calibri"/>
          <w:sz w:val="20"/>
          <w:vertAlign w:val="superscript"/>
        </w:rPr>
        <w:footnoteReference w:id="2"/>
      </w:r>
      <w:r w:rsidRPr="000E1298">
        <w:rPr>
          <w:rFonts w:ascii="Calibri" w:eastAsia="Calibri" w:hAnsi="Calibri" w:cs="Calibri"/>
          <w:sz w:val="20"/>
          <w:szCs w:val="20"/>
        </w:rPr>
        <w:t xml:space="preserve"> del legale rappresentante/procuratore</w:t>
      </w:r>
      <w:bookmarkStart w:id="1" w:name="_Ref41906052"/>
      <w:r w:rsidRPr="000E1298">
        <w:rPr>
          <w:rFonts w:ascii="Calibri" w:eastAsia="Calibri" w:hAnsi="Calibri" w:cs="Calibri"/>
          <w:sz w:val="20"/>
          <w:vertAlign w:val="superscript"/>
        </w:rPr>
        <w:footnoteReference w:id="3"/>
      </w:r>
      <w:bookmarkEnd w:id="1"/>
    </w:p>
    <w:p w14:paraId="1477B25C" w14:textId="77777777" w:rsidR="00BF24E2" w:rsidRPr="00CA1DF7" w:rsidRDefault="00BF24E2" w:rsidP="00BF24E2">
      <w:pPr>
        <w:rPr>
          <w:sz w:val="20"/>
          <w:szCs w:val="20"/>
        </w:rPr>
      </w:pPr>
    </w:p>
    <w:p w14:paraId="5D13AE2E" w14:textId="77777777" w:rsidR="00BF24E2" w:rsidRPr="005F0F13" w:rsidRDefault="00BF24E2" w:rsidP="005F0F13"/>
    <w:sectPr w:rsidR="00BF24E2" w:rsidRPr="005F0F13" w:rsidSect="00A73D07">
      <w:headerReference w:type="default" r:id="rId14"/>
      <w:footerReference w:type="default" r:id="rId15"/>
      <w:pgSz w:w="11900" w:h="16840"/>
      <w:pgMar w:top="1985" w:right="701" w:bottom="1276"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6126E7" w14:textId="77777777" w:rsidR="00C32061" w:rsidRDefault="00C32061" w:rsidP="000151A3">
      <w:r>
        <w:separator/>
      </w:r>
    </w:p>
  </w:endnote>
  <w:endnote w:type="continuationSeparator" w:id="0">
    <w:p w14:paraId="02C3CA90" w14:textId="77777777" w:rsidR="00C32061" w:rsidRDefault="00C32061"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99927" w14:textId="7340714F" w:rsidR="005F0F13" w:rsidRDefault="005F0F13" w:rsidP="005F0F13">
    <w:pPr>
      <w:jc w:val="both"/>
      <w:rPr>
        <w:rFonts w:ascii="Verdana" w:hAnsi="Verdana"/>
        <w:noProof/>
        <w:lang w:eastAsia="it-IT"/>
      </w:rPr>
    </w:pPr>
    <w:r>
      <w:rPr>
        <w:noProof/>
        <w:lang w:eastAsia="it-IT"/>
      </w:rPr>
      <w:drawing>
        <wp:anchor distT="0" distB="0" distL="114300" distR="114300" simplePos="0" relativeHeight="251659264" behindDoc="0" locked="0" layoutInCell="1" allowOverlap="1" wp14:anchorId="4C4A2589" wp14:editId="32FA7270">
          <wp:simplePos x="0" y="0"/>
          <wp:positionH relativeFrom="column">
            <wp:posOffset>4302760</wp:posOffset>
          </wp:positionH>
          <wp:positionV relativeFrom="paragraph">
            <wp:posOffset>109220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054609" w14:textId="77777777" w:rsidR="005F0F13" w:rsidRDefault="005F0F13" w:rsidP="005F0F13">
    <w:pPr>
      <w:jc w:val="both"/>
      <w:rPr>
        <w:rFonts w:ascii="Century Gothic" w:hAnsi="Century Gothic"/>
        <w:color w:val="002060"/>
        <w:sz w:val="16"/>
        <w:szCs w:val="16"/>
      </w:rPr>
    </w:pPr>
    <w:r>
      <w:rPr>
        <w:rFonts w:ascii="Verdana" w:hAnsi="Verdana"/>
        <w:noProof/>
        <w:lang w:eastAsia="it-IT"/>
      </w:rPr>
      <w:drawing>
        <wp:inline distT="0" distB="0" distL="0" distR="0" wp14:anchorId="2704D56F" wp14:editId="7F7CD691">
          <wp:extent cx="2347968" cy="596265"/>
          <wp:effectExtent l="0" t="0" r="1905"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r w:rsidRPr="008429BD">
      <w:rPr>
        <w:rFonts w:ascii="Century Gothic" w:hAnsi="Century Gothic"/>
        <w:color w:val="002060"/>
        <w:sz w:val="16"/>
        <w:szCs w:val="16"/>
      </w:rPr>
      <w:t xml:space="preserve"> </w:t>
    </w:r>
  </w:p>
  <w:p w14:paraId="0E5C8B15" w14:textId="77777777" w:rsidR="005F0F13" w:rsidRDefault="005F0F13" w:rsidP="005F0F13">
    <w:pPr>
      <w:jc w:val="both"/>
      <w:rPr>
        <w:rFonts w:ascii="Century Gothic" w:hAnsi="Century Gothic"/>
        <w:color w:val="002060"/>
        <w:sz w:val="16"/>
        <w:szCs w:val="16"/>
      </w:rPr>
    </w:pPr>
  </w:p>
  <w:p w14:paraId="0F5066DE" w14:textId="77777777" w:rsidR="005F0F13" w:rsidRPr="001F79E7" w:rsidRDefault="005F0F13" w:rsidP="005F0F13">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w:t>
    </w:r>
    <w:proofErr w:type="spellStart"/>
    <w:r w:rsidRPr="001F79E7">
      <w:rPr>
        <w:rFonts w:ascii="Century Gothic" w:hAnsi="Century Gothic"/>
        <w:b/>
        <w:bCs/>
        <w:color w:val="002060"/>
        <w:sz w:val="16"/>
        <w:szCs w:val="16"/>
      </w:rPr>
      <w:t>iENTRANCE@ENL</w:t>
    </w:r>
    <w:proofErr w:type="spellEnd"/>
    <w:r w:rsidRPr="001F79E7">
      <w:rPr>
        <w:rFonts w:ascii="Century Gothic" w:hAnsi="Century Gothic"/>
        <w:b/>
        <w:bCs/>
        <w:color w:val="002060"/>
        <w:sz w:val="16"/>
        <w:szCs w:val="16"/>
      </w:rPr>
      <w:t xml:space="preserve"> - </w:t>
    </w:r>
    <w:proofErr w:type="spellStart"/>
    <w:r w:rsidRPr="001F79E7">
      <w:rPr>
        <w:rFonts w:ascii="Century Gothic" w:hAnsi="Century Gothic"/>
        <w:b/>
        <w:bCs/>
        <w:color w:val="002060"/>
        <w:sz w:val="16"/>
        <w:szCs w:val="16"/>
      </w:rPr>
      <w:t>Infrastructure</w:t>
    </w:r>
    <w:proofErr w:type="spellEnd"/>
    <w:r w:rsidRPr="001F79E7">
      <w:rPr>
        <w:rFonts w:ascii="Century Gothic" w:hAnsi="Century Gothic"/>
        <w:b/>
        <w:bCs/>
        <w:color w:val="002060"/>
        <w:sz w:val="16"/>
        <w:szCs w:val="16"/>
      </w:rPr>
      <w:t xml:space="preserve"> for </w:t>
    </w:r>
    <w:proofErr w:type="spellStart"/>
    <w:r w:rsidRPr="001F79E7">
      <w:rPr>
        <w:rFonts w:ascii="Century Gothic" w:hAnsi="Century Gothic"/>
        <w:b/>
        <w:bCs/>
        <w:color w:val="002060"/>
        <w:sz w:val="16"/>
        <w:szCs w:val="16"/>
      </w:rPr>
      <w:t>ENergy</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TRAnsition</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aNd</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Circular</w:t>
    </w:r>
    <w:proofErr w:type="spellEnd"/>
    <w:r w:rsidRPr="001F79E7">
      <w:rPr>
        <w:rFonts w:ascii="Century Gothic" w:hAnsi="Century Gothic"/>
        <w:b/>
        <w:bCs/>
        <w:color w:val="002060"/>
        <w:sz w:val="16"/>
        <w:szCs w:val="16"/>
      </w:rPr>
      <w:t xml:space="preserve"> Economy @ </w:t>
    </w:r>
    <w:proofErr w:type="spellStart"/>
    <w:r w:rsidRPr="001F79E7">
      <w:rPr>
        <w:rFonts w:ascii="Century Gothic" w:hAnsi="Century Gothic"/>
        <w:b/>
        <w:bCs/>
        <w:color w:val="002060"/>
        <w:sz w:val="16"/>
        <w:szCs w:val="16"/>
      </w:rPr>
      <w:t>EuroNanoLab</w:t>
    </w:r>
    <w:proofErr w:type="spellEnd"/>
    <w:r w:rsidRPr="001F79E7">
      <w:rPr>
        <w:rFonts w:ascii="Century Gothic" w:hAnsi="Century Gothic"/>
        <w:b/>
        <w:bCs/>
        <w:color w:val="002060"/>
        <w:sz w:val="16"/>
        <w:szCs w:val="16"/>
      </w:rPr>
      <w:t>”</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w:t>
    </w:r>
    <w:proofErr w:type="spellStart"/>
    <w:r w:rsidRPr="001F79E7">
      <w:rPr>
        <w:rFonts w:ascii="Century Gothic" w:hAnsi="Century Gothic"/>
        <w:color w:val="002060"/>
        <w:sz w:val="16"/>
        <w:szCs w:val="16"/>
      </w:rPr>
      <w:t>NextGenerationEU</w:t>
    </w:r>
    <w:proofErr w:type="spellEnd"/>
  </w:p>
  <w:p w14:paraId="2C8FC052" w14:textId="451FD254" w:rsidR="000151A3" w:rsidRDefault="000151A3" w:rsidP="000151A3">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065BCC" w14:textId="77777777" w:rsidR="00C32061" w:rsidRDefault="00C32061" w:rsidP="000151A3">
      <w:r>
        <w:separator/>
      </w:r>
    </w:p>
  </w:footnote>
  <w:footnote w:type="continuationSeparator" w:id="0">
    <w:p w14:paraId="0CD4B027" w14:textId="77777777" w:rsidR="00C32061" w:rsidRDefault="00C32061" w:rsidP="000151A3">
      <w:r>
        <w:continuationSeparator/>
      </w:r>
    </w:p>
  </w:footnote>
  <w:footnote w:id="1">
    <w:p w14:paraId="4F02277F" w14:textId="77777777" w:rsidR="00BF24E2" w:rsidRPr="00CA1DF7" w:rsidRDefault="00BF24E2" w:rsidP="00BF24E2">
      <w:pPr>
        <w:pStyle w:val="Testonotaapidipagina"/>
        <w:rPr>
          <w:rFonts w:cstheme="minorHAnsi"/>
          <w:sz w:val="16"/>
          <w:szCs w:val="16"/>
        </w:rPr>
      </w:pPr>
      <w:r w:rsidRPr="00CA1DF7">
        <w:rPr>
          <w:rStyle w:val="Rimandonotaapidipagina"/>
          <w:rFonts w:cstheme="minorHAnsi"/>
          <w:szCs w:val="16"/>
        </w:rPr>
        <w:footnoteRef/>
      </w:r>
      <w:r w:rsidRPr="00CA1DF7">
        <w:rPr>
          <w:rFonts w:cstheme="minorHAnsi"/>
          <w:sz w:val="16"/>
          <w:szCs w:val="16"/>
          <w:vertAlign w:val="superscript"/>
        </w:rPr>
        <w:t xml:space="preserve"> </w:t>
      </w:r>
      <w:r w:rsidRPr="00CA1DF7">
        <w:rPr>
          <w:rFonts w:cstheme="minorHAnsi"/>
          <w:sz w:val="16"/>
          <w:szCs w:val="16"/>
        </w:rPr>
        <w:t>Dichiarazione da rendere in caso di approvvigionamento di strumentazioni/app</w:t>
      </w:r>
      <w:r>
        <w:rPr>
          <w:rFonts w:cstheme="minorHAnsi"/>
          <w:sz w:val="16"/>
          <w:szCs w:val="16"/>
        </w:rPr>
        <w:t>arecchiature</w:t>
      </w:r>
      <w:r w:rsidRPr="00CA1DF7">
        <w:rPr>
          <w:rFonts w:cstheme="minorHAnsi"/>
          <w:sz w:val="16"/>
          <w:szCs w:val="16"/>
        </w:rPr>
        <w:t xml:space="preserve"> che r</w:t>
      </w:r>
      <w:r>
        <w:rPr>
          <w:rFonts w:cstheme="minorHAnsi"/>
          <w:sz w:val="16"/>
          <w:szCs w:val="16"/>
        </w:rPr>
        <w:t>ientrino</w:t>
      </w:r>
      <w:r w:rsidRPr="00CA1DF7">
        <w:rPr>
          <w:rFonts w:cstheme="minorHAnsi"/>
          <w:sz w:val="16"/>
          <w:szCs w:val="16"/>
        </w:rPr>
        <w:t xml:space="preserve"> nel campo di applicazione della Scheda 3 </w:t>
      </w:r>
      <w:r>
        <w:rPr>
          <w:rFonts w:cstheme="minorHAnsi"/>
          <w:sz w:val="16"/>
          <w:szCs w:val="16"/>
        </w:rPr>
        <w:t>“Apparecchiature elettriche ed elettroniche”, in modo da garantire il rispetto del principio di “Prevenzione e riduzione dell’inquinamento”.</w:t>
      </w:r>
    </w:p>
  </w:footnote>
  <w:footnote w:id="2">
    <w:p w14:paraId="20B21632" w14:textId="77777777" w:rsidR="00BF24E2" w:rsidRPr="00B10CA3" w:rsidRDefault="00BF24E2" w:rsidP="00BF24E2">
      <w:pPr>
        <w:pStyle w:val="Testonotaapidipagina"/>
        <w:jc w:val="both"/>
        <w:rPr>
          <w:rFonts w:ascii="Calibri" w:hAnsi="Calibri" w:cs="Calibri"/>
          <w:sz w:val="13"/>
          <w:szCs w:val="13"/>
        </w:rPr>
      </w:pPr>
      <w:r w:rsidRPr="00B10CA3">
        <w:rPr>
          <w:rStyle w:val="Rimandonotaapidipagina"/>
          <w:rFonts w:ascii="Calibri" w:hAnsi="Calibri" w:cs="Calibri"/>
          <w:sz w:val="13"/>
          <w:szCs w:val="13"/>
        </w:rPr>
        <w:footnoteRef/>
      </w:r>
      <w:r w:rsidRPr="00B10CA3">
        <w:rPr>
          <w:rFonts w:ascii="Calibri" w:hAnsi="Calibri" w:cs="Calibri"/>
          <w:sz w:val="13"/>
          <w:szCs w:val="13"/>
        </w:rPr>
        <w:t xml:space="preserve"> Per gli operatori economici italiani o stranieri residenti in Italia, la dichiarazione deve essere sottoscritta da un legale rappresentante ovvero da un procuratore</w:t>
      </w:r>
      <w:r w:rsidRPr="00B10CA3">
        <w:rPr>
          <w:rFonts w:ascii="Calibri" w:hAnsi="Calibri" w:cs="Calibri"/>
          <w:sz w:val="13"/>
          <w:szCs w:val="13"/>
          <w:vertAlign w:val="superscript"/>
        </w:rPr>
        <w:t xml:space="preserve">6  </w:t>
      </w:r>
      <w:r w:rsidRPr="00B10CA3">
        <w:rPr>
          <w:rFonts w:ascii="Calibri" w:hAnsi="Calibri" w:cs="Calibri"/>
          <w:sz w:val="13"/>
          <w:szCs w:val="13"/>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3">
    <w:p w14:paraId="6B0A3495" w14:textId="77777777" w:rsidR="00BF24E2" w:rsidRPr="00B10CA3" w:rsidRDefault="00BF24E2" w:rsidP="00BF24E2">
      <w:pPr>
        <w:pStyle w:val="Testonotaapidipagina"/>
        <w:jc w:val="both"/>
        <w:rPr>
          <w:sz w:val="13"/>
          <w:szCs w:val="13"/>
        </w:rPr>
      </w:pPr>
      <w:r w:rsidRPr="00B10CA3">
        <w:rPr>
          <w:rStyle w:val="Rimandonotaapidipagina"/>
          <w:rFonts w:ascii="Calibri" w:hAnsi="Calibri" w:cs="Calibri"/>
          <w:sz w:val="13"/>
          <w:szCs w:val="13"/>
        </w:rPr>
        <w:footnoteRef/>
      </w:r>
      <w:r w:rsidRPr="00B10CA3">
        <w:rPr>
          <w:rFonts w:ascii="Calibri" w:hAnsi="Calibri" w:cs="Calibri"/>
          <w:sz w:val="13"/>
          <w:szCs w:val="13"/>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22B255ED" w:rsidR="00615898" w:rsidRDefault="00BF24E2" w:rsidP="000151A3">
    <w:pPr>
      <w:pStyle w:val="Intestazione"/>
      <w:tabs>
        <w:tab w:val="clear" w:pos="9638"/>
      </w:tabs>
      <w:ind w:left="-1134" w:right="-1134"/>
      <w:rPr>
        <w:noProof/>
        <w:lang w:eastAsia="it-IT"/>
      </w:rPr>
    </w:pPr>
    <w:r>
      <w:rPr>
        <w:noProof/>
        <w:lang w:eastAsia="it-IT"/>
      </w:rPr>
      <w:drawing>
        <wp:inline distT="0" distB="0" distL="0" distR="0" wp14:anchorId="598C7450" wp14:editId="5ED4BF0E">
          <wp:extent cx="7566660" cy="1082040"/>
          <wp:effectExtent l="0" t="0" r="0" b="381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660" cy="1082040"/>
                  </a:xfrm>
                  <a:prstGeom prst="rect">
                    <a:avLst/>
                  </a:prstGeom>
                  <a:noFill/>
                  <a:ln>
                    <a:noFill/>
                  </a:ln>
                </pic:spPr>
              </pic:pic>
            </a:graphicData>
          </a:graphic>
        </wp:inline>
      </w:drawing>
    </w:r>
  </w:p>
  <w:p w14:paraId="20DC1B6A" w14:textId="78C59EF7" w:rsidR="000151A3" w:rsidRDefault="000151A3" w:rsidP="00F46B1C">
    <w:pPr>
      <w:pStyle w:val="Intestazione"/>
      <w:tabs>
        <w:tab w:val="clear" w:pos="9638"/>
      </w:tabs>
      <w:ind w:righ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5C4FAE"/>
    <w:multiLevelType w:val="hybridMultilevel"/>
    <w:tmpl w:val="360E3E9A"/>
    <w:lvl w:ilvl="0" w:tplc="04100019">
      <w:start w:val="1"/>
      <w:numFmt w:val="lowerLetter"/>
      <w:lvlText w:val="%1."/>
      <w:lvlJc w:val="left"/>
      <w:pPr>
        <w:ind w:left="1477" w:hanging="360"/>
      </w:pPr>
    </w:lvl>
    <w:lvl w:ilvl="1" w:tplc="04100019" w:tentative="1">
      <w:start w:val="1"/>
      <w:numFmt w:val="lowerLetter"/>
      <w:lvlText w:val="%2."/>
      <w:lvlJc w:val="left"/>
      <w:pPr>
        <w:ind w:left="2197" w:hanging="360"/>
      </w:pPr>
    </w:lvl>
    <w:lvl w:ilvl="2" w:tplc="0410001B" w:tentative="1">
      <w:start w:val="1"/>
      <w:numFmt w:val="lowerRoman"/>
      <w:lvlText w:val="%3."/>
      <w:lvlJc w:val="right"/>
      <w:pPr>
        <w:ind w:left="2917" w:hanging="180"/>
      </w:pPr>
    </w:lvl>
    <w:lvl w:ilvl="3" w:tplc="0410000F" w:tentative="1">
      <w:start w:val="1"/>
      <w:numFmt w:val="decimal"/>
      <w:lvlText w:val="%4."/>
      <w:lvlJc w:val="left"/>
      <w:pPr>
        <w:ind w:left="3637" w:hanging="360"/>
      </w:pPr>
    </w:lvl>
    <w:lvl w:ilvl="4" w:tplc="04100019" w:tentative="1">
      <w:start w:val="1"/>
      <w:numFmt w:val="lowerLetter"/>
      <w:lvlText w:val="%5."/>
      <w:lvlJc w:val="left"/>
      <w:pPr>
        <w:ind w:left="4357" w:hanging="360"/>
      </w:pPr>
    </w:lvl>
    <w:lvl w:ilvl="5" w:tplc="0410001B" w:tentative="1">
      <w:start w:val="1"/>
      <w:numFmt w:val="lowerRoman"/>
      <w:lvlText w:val="%6."/>
      <w:lvlJc w:val="right"/>
      <w:pPr>
        <w:ind w:left="5077" w:hanging="180"/>
      </w:pPr>
    </w:lvl>
    <w:lvl w:ilvl="6" w:tplc="0410000F" w:tentative="1">
      <w:start w:val="1"/>
      <w:numFmt w:val="decimal"/>
      <w:lvlText w:val="%7."/>
      <w:lvlJc w:val="left"/>
      <w:pPr>
        <w:ind w:left="5797" w:hanging="360"/>
      </w:pPr>
    </w:lvl>
    <w:lvl w:ilvl="7" w:tplc="04100019" w:tentative="1">
      <w:start w:val="1"/>
      <w:numFmt w:val="lowerLetter"/>
      <w:lvlText w:val="%8."/>
      <w:lvlJc w:val="left"/>
      <w:pPr>
        <w:ind w:left="6517" w:hanging="360"/>
      </w:pPr>
    </w:lvl>
    <w:lvl w:ilvl="8" w:tplc="0410001B" w:tentative="1">
      <w:start w:val="1"/>
      <w:numFmt w:val="lowerRoman"/>
      <w:lvlText w:val="%9."/>
      <w:lvlJc w:val="right"/>
      <w:pPr>
        <w:ind w:left="7237" w:hanging="180"/>
      </w:pPr>
    </w:lvl>
  </w:abstractNum>
  <w:abstractNum w:abstractNumId="1" w15:restartNumberingAfterBreak="0">
    <w:nsid w:val="0CE01C4F"/>
    <w:multiLevelType w:val="hybridMultilevel"/>
    <w:tmpl w:val="7CF41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473786"/>
    <w:multiLevelType w:val="hybridMultilevel"/>
    <w:tmpl w:val="386ABE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372632"/>
    <w:multiLevelType w:val="hybridMultilevel"/>
    <w:tmpl w:val="11A08D9E"/>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A5B5A28"/>
    <w:multiLevelType w:val="hybridMultilevel"/>
    <w:tmpl w:val="F33C0ECE"/>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E880A6F"/>
    <w:multiLevelType w:val="hybridMultilevel"/>
    <w:tmpl w:val="A41C70D0"/>
    <w:lvl w:ilvl="0" w:tplc="A08A761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21D948AD"/>
    <w:multiLevelType w:val="hybridMultilevel"/>
    <w:tmpl w:val="907C91BE"/>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2EEA12F2"/>
    <w:multiLevelType w:val="hybridMultilevel"/>
    <w:tmpl w:val="DE5C1F56"/>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D9F3125"/>
    <w:multiLevelType w:val="hybridMultilevel"/>
    <w:tmpl w:val="460EDF82"/>
    <w:lvl w:ilvl="0" w:tplc="F4AC137E">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3FDB6883"/>
    <w:multiLevelType w:val="hybridMultilevel"/>
    <w:tmpl w:val="6E6817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57C6AA3"/>
    <w:multiLevelType w:val="hybridMultilevel"/>
    <w:tmpl w:val="5C3E30F0"/>
    <w:lvl w:ilvl="0" w:tplc="04100017">
      <w:start w:val="1"/>
      <w:numFmt w:val="lowerLetter"/>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1" w15:restartNumberingAfterBreak="0">
    <w:nsid w:val="46B43502"/>
    <w:multiLevelType w:val="hybridMultilevel"/>
    <w:tmpl w:val="8202F1E4"/>
    <w:lvl w:ilvl="0" w:tplc="0E5C1CF8">
      <w:start w:val="1"/>
      <w:numFmt w:val="decimal"/>
      <w:lvlText w:val="%1)"/>
      <w:lvlJc w:val="left"/>
      <w:pPr>
        <w:ind w:left="720" w:hanging="360"/>
      </w:pPr>
      <w:rPr>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81D1D90"/>
    <w:multiLevelType w:val="hybridMultilevel"/>
    <w:tmpl w:val="13DEB1E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58724F52"/>
    <w:multiLevelType w:val="hybridMultilevel"/>
    <w:tmpl w:val="A10E32C0"/>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608A60FD"/>
    <w:multiLevelType w:val="hybridMultilevel"/>
    <w:tmpl w:val="B97EAEE2"/>
    <w:lvl w:ilvl="0" w:tplc="DC0EBFD6">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5" w15:restartNumberingAfterBreak="0">
    <w:nsid w:val="62B91B65"/>
    <w:multiLevelType w:val="hybridMultilevel"/>
    <w:tmpl w:val="3CE80E80"/>
    <w:lvl w:ilvl="0" w:tplc="04100001">
      <w:start w:val="1"/>
      <w:numFmt w:val="bullet"/>
      <w:lvlText w:val=""/>
      <w:lvlJc w:val="left"/>
      <w:pPr>
        <w:ind w:left="1786" w:hanging="360"/>
      </w:pPr>
      <w:rPr>
        <w:rFonts w:ascii="Symbol" w:hAnsi="Symbol" w:hint="default"/>
      </w:rPr>
    </w:lvl>
    <w:lvl w:ilvl="1" w:tplc="04100003" w:tentative="1">
      <w:start w:val="1"/>
      <w:numFmt w:val="bullet"/>
      <w:lvlText w:val="o"/>
      <w:lvlJc w:val="left"/>
      <w:pPr>
        <w:ind w:left="2506" w:hanging="360"/>
      </w:pPr>
      <w:rPr>
        <w:rFonts w:ascii="Courier New" w:hAnsi="Courier New" w:cs="Courier New" w:hint="default"/>
      </w:rPr>
    </w:lvl>
    <w:lvl w:ilvl="2" w:tplc="04100005" w:tentative="1">
      <w:start w:val="1"/>
      <w:numFmt w:val="bullet"/>
      <w:lvlText w:val=""/>
      <w:lvlJc w:val="left"/>
      <w:pPr>
        <w:ind w:left="3226" w:hanging="360"/>
      </w:pPr>
      <w:rPr>
        <w:rFonts w:ascii="Wingdings" w:hAnsi="Wingdings" w:hint="default"/>
      </w:rPr>
    </w:lvl>
    <w:lvl w:ilvl="3" w:tplc="04100001" w:tentative="1">
      <w:start w:val="1"/>
      <w:numFmt w:val="bullet"/>
      <w:lvlText w:val=""/>
      <w:lvlJc w:val="left"/>
      <w:pPr>
        <w:ind w:left="3946" w:hanging="360"/>
      </w:pPr>
      <w:rPr>
        <w:rFonts w:ascii="Symbol" w:hAnsi="Symbol" w:hint="default"/>
      </w:rPr>
    </w:lvl>
    <w:lvl w:ilvl="4" w:tplc="04100003" w:tentative="1">
      <w:start w:val="1"/>
      <w:numFmt w:val="bullet"/>
      <w:lvlText w:val="o"/>
      <w:lvlJc w:val="left"/>
      <w:pPr>
        <w:ind w:left="4666" w:hanging="360"/>
      </w:pPr>
      <w:rPr>
        <w:rFonts w:ascii="Courier New" w:hAnsi="Courier New" w:cs="Courier New" w:hint="default"/>
      </w:rPr>
    </w:lvl>
    <w:lvl w:ilvl="5" w:tplc="04100005" w:tentative="1">
      <w:start w:val="1"/>
      <w:numFmt w:val="bullet"/>
      <w:lvlText w:val=""/>
      <w:lvlJc w:val="left"/>
      <w:pPr>
        <w:ind w:left="5386" w:hanging="360"/>
      </w:pPr>
      <w:rPr>
        <w:rFonts w:ascii="Wingdings" w:hAnsi="Wingdings" w:hint="default"/>
      </w:rPr>
    </w:lvl>
    <w:lvl w:ilvl="6" w:tplc="04100001" w:tentative="1">
      <w:start w:val="1"/>
      <w:numFmt w:val="bullet"/>
      <w:lvlText w:val=""/>
      <w:lvlJc w:val="left"/>
      <w:pPr>
        <w:ind w:left="6106" w:hanging="360"/>
      </w:pPr>
      <w:rPr>
        <w:rFonts w:ascii="Symbol" w:hAnsi="Symbol" w:hint="default"/>
      </w:rPr>
    </w:lvl>
    <w:lvl w:ilvl="7" w:tplc="04100003" w:tentative="1">
      <w:start w:val="1"/>
      <w:numFmt w:val="bullet"/>
      <w:lvlText w:val="o"/>
      <w:lvlJc w:val="left"/>
      <w:pPr>
        <w:ind w:left="6826" w:hanging="360"/>
      </w:pPr>
      <w:rPr>
        <w:rFonts w:ascii="Courier New" w:hAnsi="Courier New" w:cs="Courier New" w:hint="default"/>
      </w:rPr>
    </w:lvl>
    <w:lvl w:ilvl="8" w:tplc="04100005" w:tentative="1">
      <w:start w:val="1"/>
      <w:numFmt w:val="bullet"/>
      <w:lvlText w:val=""/>
      <w:lvlJc w:val="left"/>
      <w:pPr>
        <w:ind w:left="7546" w:hanging="360"/>
      </w:pPr>
      <w:rPr>
        <w:rFonts w:ascii="Wingdings" w:hAnsi="Wingdings" w:hint="default"/>
      </w:rPr>
    </w:lvl>
  </w:abstractNum>
  <w:abstractNum w:abstractNumId="16" w15:restartNumberingAfterBreak="0">
    <w:nsid w:val="685E27B2"/>
    <w:multiLevelType w:val="hybridMultilevel"/>
    <w:tmpl w:val="1A2C5F16"/>
    <w:lvl w:ilvl="0" w:tplc="04100001">
      <w:start w:val="1"/>
      <w:numFmt w:val="bullet"/>
      <w:lvlText w:val=""/>
      <w:lvlJc w:val="left"/>
      <w:pPr>
        <w:ind w:left="767" w:hanging="360"/>
      </w:pPr>
      <w:rPr>
        <w:rFonts w:ascii="Symbol" w:hAnsi="Symbol" w:hint="default"/>
      </w:rPr>
    </w:lvl>
    <w:lvl w:ilvl="1" w:tplc="04100003" w:tentative="1">
      <w:start w:val="1"/>
      <w:numFmt w:val="bullet"/>
      <w:lvlText w:val="o"/>
      <w:lvlJc w:val="left"/>
      <w:pPr>
        <w:ind w:left="1487" w:hanging="360"/>
      </w:pPr>
      <w:rPr>
        <w:rFonts w:ascii="Courier New" w:hAnsi="Courier New" w:cs="Courier New" w:hint="default"/>
      </w:rPr>
    </w:lvl>
    <w:lvl w:ilvl="2" w:tplc="04100005" w:tentative="1">
      <w:start w:val="1"/>
      <w:numFmt w:val="bullet"/>
      <w:lvlText w:val=""/>
      <w:lvlJc w:val="left"/>
      <w:pPr>
        <w:ind w:left="2207" w:hanging="360"/>
      </w:pPr>
      <w:rPr>
        <w:rFonts w:ascii="Wingdings" w:hAnsi="Wingdings" w:hint="default"/>
      </w:rPr>
    </w:lvl>
    <w:lvl w:ilvl="3" w:tplc="04100001" w:tentative="1">
      <w:start w:val="1"/>
      <w:numFmt w:val="bullet"/>
      <w:lvlText w:val=""/>
      <w:lvlJc w:val="left"/>
      <w:pPr>
        <w:ind w:left="2927" w:hanging="360"/>
      </w:pPr>
      <w:rPr>
        <w:rFonts w:ascii="Symbol" w:hAnsi="Symbol" w:hint="default"/>
      </w:rPr>
    </w:lvl>
    <w:lvl w:ilvl="4" w:tplc="04100003" w:tentative="1">
      <w:start w:val="1"/>
      <w:numFmt w:val="bullet"/>
      <w:lvlText w:val="o"/>
      <w:lvlJc w:val="left"/>
      <w:pPr>
        <w:ind w:left="3647" w:hanging="360"/>
      </w:pPr>
      <w:rPr>
        <w:rFonts w:ascii="Courier New" w:hAnsi="Courier New" w:cs="Courier New" w:hint="default"/>
      </w:rPr>
    </w:lvl>
    <w:lvl w:ilvl="5" w:tplc="04100005" w:tentative="1">
      <w:start w:val="1"/>
      <w:numFmt w:val="bullet"/>
      <w:lvlText w:val=""/>
      <w:lvlJc w:val="left"/>
      <w:pPr>
        <w:ind w:left="4367" w:hanging="360"/>
      </w:pPr>
      <w:rPr>
        <w:rFonts w:ascii="Wingdings" w:hAnsi="Wingdings" w:hint="default"/>
      </w:rPr>
    </w:lvl>
    <w:lvl w:ilvl="6" w:tplc="04100001" w:tentative="1">
      <w:start w:val="1"/>
      <w:numFmt w:val="bullet"/>
      <w:lvlText w:val=""/>
      <w:lvlJc w:val="left"/>
      <w:pPr>
        <w:ind w:left="5087" w:hanging="360"/>
      </w:pPr>
      <w:rPr>
        <w:rFonts w:ascii="Symbol" w:hAnsi="Symbol" w:hint="default"/>
      </w:rPr>
    </w:lvl>
    <w:lvl w:ilvl="7" w:tplc="04100003" w:tentative="1">
      <w:start w:val="1"/>
      <w:numFmt w:val="bullet"/>
      <w:lvlText w:val="o"/>
      <w:lvlJc w:val="left"/>
      <w:pPr>
        <w:ind w:left="5807" w:hanging="360"/>
      </w:pPr>
      <w:rPr>
        <w:rFonts w:ascii="Courier New" w:hAnsi="Courier New" w:cs="Courier New" w:hint="default"/>
      </w:rPr>
    </w:lvl>
    <w:lvl w:ilvl="8" w:tplc="04100005" w:tentative="1">
      <w:start w:val="1"/>
      <w:numFmt w:val="bullet"/>
      <w:lvlText w:val=""/>
      <w:lvlJc w:val="left"/>
      <w:pPr>
        <w:ind w:left="6527" w:hanging="360"/>
      </w:pPr>
      <w:rPr>
        <w:rFonts w:ascii="Wingdings" w:hAnsi="Wingdings" w:hint="default"/>
      </w:rPr>
    </w:lvl>
  </w:abstractNum>
  <w:num w:numId="1" w16cid:durableId="1672752753">
    <w:abstractNumId w:val="12"/>
  </w:num>
  <w:num w:numId="2" w16cid:durableId="1158419650">
    <w:abstractNumId w:val="0"/>
  </w:num>
  <w:num w:numId="3" w16cid:durableId="1247302199">
    <w:abstractNumId w:val="2"/>
  </w:num>
  <w:num w:numId="4" w16cid:durableId="556088192">
    <w:abstractNumId w:val="3"/>
  </w:num>
  <w:num w:numId="5" w16cid:durableId="421685198">
    <w:abstractNumId w:val="1"/>
  </w:num>
  <w:num w:numId="6" w16cid:durableId="331954574">
    <w:abstractNumId w:val="14"/>
  </w:num>
  <w:num w:numId="7" w16cid:durableId="2021464836">
    <w:abstractNumId w:val="11"/>
  </w:num>
  <w:num w:numId="8" w16cid:durableId="1634097816">
    <w:abstractNumId w:val="7"/>
  </w:num>
  <w:num w:numId="9" w16cid:durableId="1547133224">
    <w:abstractNumId w:val="8"/>
  </w:num>
  <w:num w:numId="10" w16cid:durableId="83768295">
    <w:abstractNumId w:val="10"/>
  </w:num>
  <w:num w:numId="11" w16cid:durableId="901140204">
    <w:abstractNumId w:val="16"/>
  </w:num>
  <w:num w:numId="12" w16cid:durableId="898590446">
    <w:abstractNumId w:val="9"/>
  </w:num>
  <w:num w:numId="13" w16cid:durableId="411508719">
    <w:abstractNumId w:val="13"/>
  </w:num>
  <w:num w:numId="14" w16cid:durableId="541403801">
    <w:abstractNumId w:val="5"/>
  </w:num>
  <w:num w:numId="15" w16cid:durableId="122117739">
    <w:abstractNumId w:val="4"/>
  </w:num>
  <w:num w:numId="16" w16cid:durableId="2139570347">
    <w:abstractNumId w:val="15"/>
  </w:num>
  <w:num w:numId="17" w16cid:durableId="2811079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26C88"/>
    <w:rsid w:val="00051DA9"/>
    <w:rsid w:val="00065BAF"/>
    <w:rsid w:val="0008219C"/>
    <w:rsid w:val="00084AD1"/>
    <w:rsid w:val="000A2D19"/>
    <w:rsid w:val="000B0712"/>
    <w:rsid w:val="000C4D9F"/>
    <w:rsid w:val="000D4717"/>
    <w:rsid w:val="000D6E8B"/>
    <w:rsid w:val="000E3B01"/>
    <w:rsid w:val="000E6EA1"/>
    <w:rsid w:val="000F4357"/>
    <w:rsid w:val="00113084"/>
    <w:rsid w:val="00152766"/>
    <w:rsid w:val="00175392"/>
    <w:rsid w:val="001B0B22"/>
    <w:rsid w:val="001B0EF5"/>
    <w:rsid w:val="001B242E"/>
    <w:rsid w:val="001B52E2"/>
    <w:rsid w:val="001E10C9"/>
    <w:rsid w:val="00244BB2"/>
    <w:rsid w:val="00245778"/>
    <w:rsid w:val="002502D6"/>
    <w:rsid w:val="002C49D9"/>
    <w:rsid w:val="002D2A79"/>
    <w:rsid w:val="002D664E"/>
    <w:rsid w:val="002D6A3C"/>
    <w:rsid w:val="002F0F84"/>
    <w:rsid w:val="002F1D21"/>
    <w:rsid w:val="00315DA1"/>
    <w:rsid w:val="003217D9"/>
    <w:rsid w:val="003378DB"/>
    <w:rsid w:val="00344B5D"/>
    <w:rsid w:val="00363A96"/>
    <w:rsid w:val="00381575"/>
    <w:rsid w:val="00386C8C"/>
    <w:rsid w:val="003A56CD"/>
    <w:rsid w:val="003D3C22"/>
    <w:rsid w:val="003E689F"/>
    <w:rsid w:val="00423EA8"/>
    <w:rsid w:val="00425E7B"/>
    <w:rsid w:val="004275B7"/>
    <w:rsid w:val="004307EC"/>
    <w:rsid w:val="00446BE8"/>
    <w:rsid w:val="00471848"/>
    <w:rsid w:val="004749B3"/>
    <w:rsid w:val="004842AC"/>
    <w:rsid w:val="00490BAD"/>
    <w:rsid w:val="0049424A"/>
    <w:rsid w:val="004C2C77"/>
    <w:rsid w:val="004D12F1"/>
    <w:rsid w:val="004F4959"/>
    <w:rsid w:val="005154E3"/>
    <w:rsid w:val="00517C4E"/>
    <w:rsid w:val="00522B6C"/>
    <w:rsid w:val="0052742F"/>
    <w:rsid w:val="00531285"/>
    <w:rsid w:val="005442AF"/>
    <w:rsid w:val="0056304D"/>
    <w:rsid w:val="00572DC1"/>
    <w:rsid w:val="00582323"/>
    <w:rsid w:val="00584B8C"/>
    <w:rsid w:val="005A6C45"/>
    <w:rsid w:val="005B10A2"/>
    <w:rsid w:val="005B6E25"/>
    <w:rsid w:val="005C6484"/>
    <w:rsid w:val="005D1686"/>
    <w:rsid w:val="005D53CE"/>
    <w:rsid w:val="005F0F13"/>
    <w:rsid w:val="00615898"/>
    <w:rsid w:val="00616DFC"/>
    <w:rsid w:val="006507FF"/>
    <w:rsid w:val="00657871"/>
    <w:rsid w:val="00694A66"/>
    <w:rsid w:val="00697D05"/>
    <w:rsid w:val="006E1339"/>
    <w:rsid w:val="007439A0"/>
    <w:rsid w:val="0075693F"/>
    <w:rsid w:val="0077309D"/>
    <w:rsid w:val="007750FF"/>
    <w:rsid w:val="007945E1"/>
    <w:rsid w:val="007A0CFB"/>
    <w:rsid w:val="007B67CB"/>
    <w:rsid w:val="007C23CC"/>
    <w:rsid w:val="007D53B0"/>
    <w:rsid w:val="007F3AD8"/>
    <w:rsid w:val="007F6311"/>
    <w:rsid w:val="00800108"/>
    <w:rsid w:val="008165BD"/>
    <w:rsid w:val="0082744E"/>
    <w:rsid w:val="00847D22"/>
    <w:rsid w:val="00851034"/>
    <w:rsid w:val="00865BCE"/>
    <w:rsid w:val="00891CCF"/>
    <w:rsid w:val="00891D6E"/>
    <w:rsid w:val="008B7A5E"/>
    <w:rsid w:val="008D3481"/>
    <w:rsid w:val="008F4C0B"/>
    <w:rsid w:val="008F64C1"/>
    <w:rsid w:val="0091082B"/>
    <w:rsid w:val="00915BA2"/>
    <w:rsid w:val="009302A8"/>
    <w:rsid w:val="00947C43"/>
    <w:rsid w:val="009A1D3B"/>
    <w:rsid w:val="009E1F3D"/>
    <w:rsid w:val="009F2615"/>
    <w:rsid w:val="009F31D4"/>
    <w:rsid w:val="00A01C92"/>
    <w:rsid w:val="00A07027"/>
    <w:rsid w:val="00A34C5F"/>
    <w:rsid w:val="00A73D07"/>
    <w:rsid w:val="00AA1B90"/>
    <w:rsid w:val="00AC292E"/>
    <w:rsid w:val="00AC554D"/>
    <w:rsid w:val="00AE1873"/>
    <w:rsid w:val="00AE3B9C"/>
    <w:rsid w:val="00AF65BA"/>
    <w:rsid w:val="00B16EA8"/>
    <w:rsid w:val="00B314AE"/>
    <w:rsid w:val="00B827A6"/>
    <w:rsid w:val="00B87837"/>
    <w:rsid w:val="00B93979"/>
    <w:rsid w:val="00BC1C72"/>
    <w:rsid w:val="00BC30C1"/>
    <w:rsid w:val="00BD5ED1"/>
    <w:rsid w:val="00BE5C31"/>
    <w:rsid w:val="00BE7E5F"/>
    <w:rsid w:val="00BF24E2"/>
    <w:rsid w:val="00C03F7B"/>
    <w:rsid w:val="00C26887"/>
    <w:rsid w:val="00C32061"/>
    <w:rsid w:val="00C32F6B"/>
    <w:rsid w:val="00C3710B"/>
    <w:rsid w:val="00C37FE3"/>
    <w:rsid w:val="00C65583"/>
    <w:rsid w:val="00C7336C"/>
    <w:rsid w:val="00C7382C"/>
    <w:rsid w:val="00CA3FE9"/>
    <w:rsid w:val="00CB520D"/>
    <w:rsid w:val="00CC3A94"/>
    <w:rsid w:val="00CF6A12"/>
    <w:rsid w:val="00D02A17"/>
    <w:rsid w:val="00D2170D"/>
    <w:rsid w:val="00D33F5D"/>
    <w:rsid w:val="00D375AA"/>
    <w:rsid w:val="00D46DF5"/>
    <w:rsid w:val="00D55ACE"/>
    <w:rsid w:val="00D60A7E"/>
    <w:rsid w:val="00DA0369"/>
    <w:rsid w:val="00DB02E7"/>
    <w:rsid w:val="00DB2620"/>
    <w:rsid w:val="00DB5F45"/>
    <w:rsid w:val="00DC3523"/>
    <w:rsid w:val="00DE7FC0"/>
    <w:rsid w:val="00E037C7"/>
    <w:rsid w:val="00E06649"/>
    <w:rsid w:val="00E113FF"/>
    <w:rsid w:val="00E14E9F"/>
    <w:rsid w:val="00E171AC"/>
    <w:rsid w:val="00E452AA"/>
    <w:rsid w:val="00E50D00"/>
    <w:rsid w:val="00E60DC5"/>
    <w:rsid w:val="00E716BE"/>
    <w:rsid w:val="00E8655F"/>
    <w:rsid w:val="00E9572D"/>
    <w:rsid w:val="00EC1015"/>
    <w:rsid w:val="00F15C04"/>
    <w:rsid w:val="00F1750F"/>
    <w:rsid w:val="00F3397D"/>
    <w:rsid w:val="00F46B1C"/>
    <w:rsid w:val="00F61984"/>
    <w:rsid w:val="00F735C4"/>
    <w:rsid w:val="00F87F08"/>
    <w:rsid w:val="00FB0C7B"/>
    <w:rsid w:val="00FE6A67"/>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FE38E1E5-9836-4BF9-9552-ADF9EB5B02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72"/>
    <w:qFormat/>
    <w:rsid w:val="000151A3"/>
    <w:pPr>
      <w:ind w:left="720"/>
      <w:contextualSpacing/>
    </w:pPr>
  </w:style>
  <w:style w:type="paragraph" w:styleId="NormaleWeb">
    <w:name w:val="Normal (Web)"/>
    <w:basedOn w:val="Normale"/>
    <w:uiPriority w:val="99"/>
    <w:unhideWhenUsed/>
    <w:rsid w:val="00344B5D"/>
    <w:pPr>
      <w:spacing w:before="100" w:beforeAutospacing="1" w:after="100" w:afterAutospacing="1"/>
    </w:pPr>
    <w:rPr>
      <w:rFonts w:ascii="Times New Roman" w:eastAsia="Times New Roman" w:hAnsi="Times New Roman" w:cs="Times New Roman"/>
      <w:lang w:eastAsia="it-IT"/>
    </w:rPr>
  </w:style>
  <w:style w:type="character" w:styleId="Rimandocommento">
    <w:name w:val="annotation reference"/>
    <w:basedOn w:val="Carpredefinitoparagrafo"/>
    <w:uiPriority w:val="99"/>
    <w:semiHidden/>
    <w:unhideWhenUsed/>
    <w:rsid w:val="0075693F"/>
    <w:rPr>
      <w:sz w:val="16"/>
      <w:szCs w:val="16"/>
    </w:rPr>
  </w:style>
  <w:style w:type="paragraph" w:styleId="Revisione">
    <w:name w:val="Revision"/>
    <w:hidden/>
    <w:uiPriority w:val="99"/>
    <w:semiHidden/>
    <w:rsid w:val="009302A8"/>
  </w:style>
  <w:style w:type="paragraph" w:styleId="Testocommento">
    <w:name w:val="annotation text"/>
    <w:basedOn w:val="Normale"/>
    <w:link w:val="TestocommentoCarattere"/>
    <w:uiPriority w:val="99"/>
    <w:semiHidden/>
    <w:unhideWhenUsed/>
    <w:rsid w:val="009302A8"/>
    <w:rPr>
      <w:sz w:val="20"/>
      <w:szCs w:val="20"/>
    </w:rPr>
  </w:style>
  <w:style w:type="character" w:customStyle="1" w:styleId="TestocommentoCarattere">
    <w:name w:val="Testo commento Carattere"/>
    <w:basedOn w:val="Carpredefinitoparagrafo"/>
    <w:link w:val="Testocommento"/>
    <w:uiPriority w:val="99"/>
    <w:semiHidden/>
    <w:rsid w:val="009302A8"/>
    <w:rPr>
      <w:sz w:val="20"/>
      <w:szCs w:val="20"/>
    </w:rPr>
  </w:style>
  <w:style w:type="paragraph" w:styleId="Soggettocommento">
    <w:name w:val="annotation subject"/>
    <w:basedOn w:val="Testocommento"/>
    <w:next w:val="Testocommento"/>
    <w:link w:val="SoggettocommentoCarattere"/>
    <w:uiPriority w:val="99"/>
    <w:semiHidden/>
    <w:unhideWhenUsed/>
    <w:rsid w:val="009302A8"/>
    <w:rPr>
      <w:b/>
      <w:bCs/>
    </w:rPr>
  </w:style>
  <w:style w:type="character" w:customStyle="1" w:styleId="SoggettocommentoCarattere">
    <w:name w:val="Soggetto commento Carattere"/>
    <w:basedOn w:val="TestocommentoCarattere"/>
    <w:link w:val="Soggettocommento"/>
    <w:uiPriority w:val="99"/>
    <w:semiHidden/>
    <w:rsid w:val="009302A8"/>
    <w:rPr>
      <w:b/>
      <w:bCs/>
      <w:sz w:val="20"/>
      <w:szCs w:val="20"/>
    </w:rPr>
  </w:style>
  <w:style w:type="paragraph" w:customStyle="1" w:styleId="Default">
    <w:name w:val="Default"/>
    <w:rsid w:val="00A07027"/>
    <w:pPr>
      <w:autoSpaceDE w:val="0"/>
      <w:autoSpaceDN w:val="0"/>
      <w:adjustRightInd w:val="0"/>
    </w:pPr>
    <w:rPr>
      <w:rFonts w:ascii="Times New Roman" w:hAnsi="Times New Roman" w:cs="Times New Roman"/>
      <w:color w:val="000000"/>
    </w:rPr>
  </w:style>
  <w:style w:type="character" w:customStyle="1" w:styleId="hgkelc">
    <w:name w:val="hgkelc"/>
    <w:basedOn w:val="Carpredefinitoparagrafo"/>
    <w:rsid w:val="00D375AA"/>
  </w:style>
  <w:style w:type="paragraph" w:styleId="Testonotaapidipagina">
    <w:name w:val="footnote text"/>
    <w:basedOn w:val="Normale"/>
    <w:link w:val="TestonotaapidipaginaCarattere"/>
    <w:unhideWhenUsed/>
    <w:rsid w:val="004749B3"/>
    <w:rPr>
      <w:sz w:val="20"/>
      <w:szCs w:val="20"/>
    </w:rPr>
  </w:style>
  <w:style w:type="character" w:customStyle="1" w:styleId="TestonotaapidipaginaCarattere">
    <w:name w:val="Testo nota a piè di pagina Carattere"/>
    <w:basedOn w:val="Carpredefinitoparagrafo"/>
    <w:link w:val="Testonotaapidipagina"/>
    <w:qFormat/>
    <w:rsid w:val="004749B3"/>
    <w:rPr>
      <w:sz w:val="20"/>
      <w:szCs w:val="20"/>
    </w:rPr>
  </w:style>
  <w:style w:type="character" w:styleId="Rimandonotaapidipagina">
    <w:name w:val="footnote reference"/>
    <w:basedOn w:val="Carpredefinitoparagrafo"/>
    <w:uiPriority w:val="99"/>
    <w:unhideWhenUsed/>
    <w:rsid w:val="004749B3"/>
    <w:rPr>
      <w:vertAlign w:val="superscript"/>
    </w:rPr>
  </w:style>
  <w:style w:type="character" w:styleId="Collegamentoipertestuale">
    <w:name w:val="Hyperlink"/>
    <w:basedOn w:val="Carpredefinitoparagrafo"/>
    <w:uiPriority w:val="99"/>
    <w:unhideWhenUsed/>
    <w:rsid w:val="00BE7E5F"/>
    <w:rPr>
      <w:color w:val="0563C1" w:themeColor="hyperlink"/>
      <w:u w:val="single"/>
    </w:rPr>
  </w:style>
  <w:style w:type="paragraph" w:styleId="Testofumetto">
    <w:name w:val="Balloon Text"/>
    <w:basedOn w:val="Normale"/>
    <w:link w:val="TestofumettoCarattere"/>
    <w:uiPriority w:val="99"/>
    <w:semiHidden/>
    <w:unhideWhenUsed/>
    <w:rsid w:val="005F0F13"/>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F0F13"/>
    <w:rPr>
      <w:rFonts w:ascii="Tahoma" w:hAnsi="Tahoma" w:cs="Tahoma"/>
      <w:sz w:val="16"/>
      <w:szCs w:val="16"/>
    </w:rPr>
  </w:style>
  <w:style w:type="paragraph" w:customStyle="1" w:styleId="Corpodeltesto1">
    <w:name w:val="Corpo del testo1"/>
    <w:basedOn w:val="Normale"/>
    <w:uiPriority w:val="99"/>
    <w:qFormat/>
    <w:rsid w:val="00BF24E2"/>
    <w:pPr>
      <w:suppressAutoHyphens/>
      <w:spacing w:after="120"/>
    </w:pPr>
    <w:rPr>
      <w:rFonts w:ascii="Times New Roman" w:eastAsia="Times New Roman" w:hAnsi="Times New Roman" w:cs="Times New Roman"/>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662522">
      <w:bodyDiv w:val="1"/>
      <w:marLeft w:val="0"/>
      <w:marRight w:val="0"/>
      <w:marTop w:val="0"/>
      <w:marBottom w:val="0"/>
      <w:divBdr>
        <w:top w:val="none" w:sz="0" w:space="0" w:color="auto"/>
        <w:left w:val="none" w:sz="0" w:space="0" w:color="auto"/>
        <w:bottom w:val="none" w:sz="0" w:space="0" w:color="auto"/>
        <w:right w:val="none" w:sz="0" w:space="0" w:color="auto"/>
      </w:divBdr>
      <w:divsChild>
        <w:div w:id="275404319">
          <w:marLeft w:val="0"/>
          <w:marRight w:val="0"/>
          <w:marTop w:val="0"/>
          <w:marBottom w:val="0"/>
          <w:divBdr>
            <w:top w:val="none" w:sz="0" w:space="0" w:color="auto"/>
            <w:left w:val="none" w:sz="0" w:space="0" w:color="auto"/>
            <w:bottom w:val="none" w:sz="0" w:space="0" w:color="auto"/>
            <w:right w:val="none" w:sz="0" w:space="0" w:color="auto"/>
          </w:divBdr>
          <w:divsChild>
            <w:div w:id="513613356">
              <w:marLeft w:val="0"/>
              <w:marRight w:val="0"/>
              <w:marTop w:val="0"/>
              <w:marBottom w:val="0"/>
              <w:divBdr>
                <w:top w:val="none" w:sz="0" w:space="0" w:color="auto"/>
                <w:left w:val="none" w:sz="0" w:space="0" w:color="auto"/>
                <w:bottom w:val="none" w:sz="0" w:space="0" w:color="auto"/>
                <w:right w:val="none" w:sz="0" w:space="0" w:color="auto"/>
              </w:divBdr>
              <w:divsChild>
                <w:div w:id="1522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73102">
      <w:bodyDiv w:val="1"/>
      <w:marLeft w:val="0"/>
      <w:marRight w:val="0"/>
      <w:marTop w:val="0"/>
      <w:marBottom w:val="0"/>
      <w:divBdr>
        <w:top w:val="none" w:sz="0" w:space="0" w:color="auto"/>
        <w:left w:val="none" w:sz="0" w:space="0" w:color="auto"/>
        <w:bottom w:val="none" w:sz="0" w:space="0" w:color="auto"/>
        <w:right w:val="none" w:sz="0" w:space="0" w:color="auto"/>
      </w:divBdr>
      <w:divsChild>
        <w:div w:id="684674160">
          <w:marLeft w:val="0"/>
          <w:marRight w:val="0"/>
          <w:marTop w:val="0"/>
          <w:marBottom w:val="0"/>
          <w:divBdr>
            <w:top w:val="none" w:sz="0" w:space="0" w:color="auto"/>
            <w:left w:val="none" w:sz="0" w:space="0" w:color="auto"/>
            <w:bottom w:val="none" w:sz="0" w:space="0" w:color="auto"/>
            <w:right w:val="none" w:sz="0" w:space="0" w:color="auto"/>
          </w:divBdr>
          <w:divsChild>
            <w:div w:id="1593052776">
              <w:marLeft w:val="0"/>
              <w:marRight w:val="0"/>
              <w:marTop w:val="0"/>
              <w:marBottom w:val="0"/>
              <w:divBdr>
                <w:top w:val="none" w:sz="0" w:space="0" w:color="auto"/>
                <w:left w:val="none" w:sz="0" w:space="0" w:color="auto"/>
                <w:bottom w:val="none" w:sz="0" w:space="0" w:color="auto"/>
                <w:right w:val="none" w:sz="0" w:space="0" w:color="auto"/>
              </w:divBdr>
              <w:divsChild>
                <w:div w:id="31183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58102">
      <w:bodyDiv w:val="1"/>
      <w:marLeft w:val="0"/>
      <w:marRight w:val="0"/>
      <w:marTop w:val="0"/>
      <w:marBottom w:val="0"/>
      <w:divBdr>
        <w:top w:val="none" w:sz="0" w:space="0" w:color="auto"/>
        <w:left w:val="none" w:sz="0" w:space="0" w:color="auto"/>
        <w:bottom w:val="none" w:sz="0" w:space="0" w:color="auto"/>
        <w:right w:val="none" w:sz="0" w:space="0" w:color="auto"/>
      </w:divBdr>
    </w:div>
    <w:div w:id="274680932">
      <w:bodyDiv w:val="1"/>
      <w:marLeft w:val="0"/>
      <w:marRight w:val="0"/>
      <w:marTop w:val="0"/>
      <w:marBottom w:val="0"/>
      <w:divBdr>
        <w:top w:val="none" w:sz="0" w:space="0" w:color="auto"/>
        <w:left w:val="none" w:sz="0" w:space="0" w:color="auto"/>
        <w:bottom w:val="none" w:sz="0" w:space="0" w:color="auto"/>
        <w:right w:val="none" w:sz="0" w:space="0" w:color="auto"/>
      </w:divBdr>
      <w:divsChild>
        <w:div w:id="1863668338">
          <w:marLeft w:val="0"/>
          <w:marRight w:val="0"/>
          <w:marTop w:val="0"/>
          <w:marBottom w:val="0"/>
          <w:divBdr>
            <w:top w:val="none" w:sz="0" w:space="0" w:color="auto"/>
            <w:left w:val="none" w:sz="0" w:space="0" w:color="auto"/>
            <w:bottom w:val="none" w:sz="0" w:space="0" w:color="auto"/>
            <w:right w:val="none" w:sz="0" w:space="0" w:color="auto"/>
          </w:divBdr>
          <w:divsChild>
            <w:div w:id="2104446537">
              <w:marLeft w:val="0"/>
              <w:marRight w:val="0"/>
              <w:marTop w:val="0"/>
              <w:marBottom w:val="0"/>
              <w:divBdr>
                <w:top w:val="none" w:sz="0" w:space="0" w:color="auto"/>
                <w:left w:val="none" w:sz="0" w:space="0" w:color="auto"/>
                <w:bottom w:val="none" w:sz="0" w:space="0" w:color="auto"/>
                <w:right w:val="none" w:sz="0" w:space="0" w:color="auto"/>
              </w:divBdr>
              <w:divsChild>
                <w:div w:id="45522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552084438">
      <w:bodyDiv w:val="1"/>
      <w:marLeft w:val="0"/>
      <w:marRight w:val="0"/>
      <w:marTop w:val="0"/>
      <w:marBottom w:val="0"/>
      <w:divBdr>
        <w:top w:val="none" w:sz="0" w:space="0" w:color="auto"/>
        <w:left w:val="none" w:sz="0" w:space="0" w:color="auto"/>
        <w:bottom w:val="none" w:sz="0" w:space="0" w:color="auto"/>
        <w:right w:val="none" w:sz="0" w:space="0" w:color="auto"/>
      </w:divBdr>
      <w:divsChild>
        <w:div w:id="217329148">
          <w:marLeft w:val="0"/>
          <w:marRight w:val="0"/>
          <w:marTop w:val="0"/>
          <w:marBottom w:val="0"/>
          <w:divBdr>
            <w:top w:val="none" w:sz="0" w:space="0" w:color="auto"/>
            <w:left w:val="none" w:sz="0" w:space="0" w:color="auto"/>
            <w:bottom w:val="none" w:sz="0" w:space="0" w:color="auto"/>
            <w:right w:val="none" w:sz="0" w:space="0" w:color="auto"/>
          </w:divBdr>
          <w:divsChild>
            <w:div w:id="1725251819">
              <w:marLeft w:val="0"/>
              <w:marRight w:val="0"/>
              <w:marTop w:val="0"/>
              <w:marBottom w:val="0"/>
              <w:divBdr>
                <w:top w:val="none" w:sz="0" w:space="0" w:color="auto"/>
                <w:left w:val="none" w:sz="0" w:space="0" w:color="auto"/>
                <w:bottom w:val="none" w:sz="0" w:space="0" w:color="auto"/>
                <w:right w:val="none" w:sz="0" w:space="0" w:color="auto"/>
              </w:divBdr>
              <w:divsChild>
                <w:div w:id="116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8418419">
      <w:bodyDiv w:val="1"/>
      <w:marLeft w:val="0"/>
      <w:marRight w:val="0"/>
      <w:marTop w:val="0"/>
      <w:marBottom w:val="0"/>
      <w:divBdr>
        <w:top w:val="none" w:sz="0" w:space="0" w:color="auto"/>
        <w:left w:val="none" w:sz="0" w:space="0" w:color="auto"/>
        <w:bottom w:val="none" w:sz="0" w:space="0" w:color="auto"/>
        <w:right w:val="none" w:sz="0" w:space="0" w:color="auto"/>
      </w:divBdr>
    </w:div>
    <w:div w:id="818152860">
      <w:bodyDiv w:val="1"/>
      <w:marLeft w:val="0"/>
      <w:marRight w:val="0"/>
      <w:marTop w:val="0"/>
      <w:marBottom w:val="0"/>
      <w:divBdr>
        <w:top w:val="none" w:sz="0" w:space="0" w:color="auto"/>
        <w:left w:val="none" w:sz="0" w:space="0" w:color="auto"/>
        <w:bottom w:val="none" w:sz="0" w:space="0" w:color="auto"/>
        <w:right w:val="none" w:sz="0" w:space="0" w:color="auto"/>
      </w:divBdr>
      <w:divsChild>
        <w:div w:id="683868425">
          <w:marLeft w:val="0"/>
          <w:marRight w:val="0"/>
          <w:marTop w:val="0"/>
          <w:marBottom w:val="0"/>
          <w:divBdr>
            <w:top w:val="none" w:sz="0" w:space="0" w:color="auto"/>
            <w:left w:val="none" w:sz="0" w:space="0" w:color="auto"/>
            <w:bottom w:val="none" w:sz="0" w:space="0" w:color="auto"/>
            <w:right w:val="none" w:sz="0" w:space="0" w:color="auto"/>
          </w:divBdr>
          <w:divsChild>
            <w:div w:id="1180974449">
              <w:marLeft w:val="0"/>
              <w:marRight w:val="0"/>
              <w:marTop w:val="0"/>
              <w:marBottom w:val="0"/>
              <w:divBdr>
                <w:top w:val="none" w:sz="0" w:space="0" w:color="auto"/>
                <w:left w:val="none" w:sz="0" w:space="0" w:color="auto"/>
                <w:bottom w:val="none" w:sz="0" w:space="0" w:color="auto"/>
                <w:right w:val="none" w:sz="0" w:space="0" w:color="auto"/>
              </w:divBdr>
              <w:divsChild>
                <w:div w:id="6718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6380">
      <w:bodyDiv w:val="1"/>
      <w:marLeft w:val="0"/>
      <w:marRight w:val="0"/>
      <w:marTop w:val="0"/>
      <w:marBottom w:val="0"/>
      <w:divBdr>
        <w:top w:val="none" w:sz="0" w:space="0" w:color="auto"/>
        <w:left w:val="none" w:sz="0" w:space="0" w:color="auto"/>
        <w:bottom w:val="none" w:sz="0" w:space="0" w:color="auto"/>
        <w:right w:val="none" w:sz="0" w:space="0" w:color="auto"/>
      </w:divBdr>
      <w:divsChild>
        <w:div w:id="1780031865">
          <w:marLeft w:val="0"/>
          <w:marRight w:val="0"/>
          <w:marTop w:val="0"/>
          <w:marBottom w:val="0"/>
          <w:divBdr>
            <w:top w:val="none" w:sz="0" w:space="0" w:color="auto"/>
            <w:left w:val="none" w:sz="0" w:space="0" w:color="auto"/>
            <w:bottom w:val="none" w:sz="0" w:space="0" w:color="auto"/>
            <w:right w:val="none" w:sz="0" w:space="0" w:color="auto"/>
          </w:divBdr>
          <w:divsChild>
            <w:div w:id="404954253">
              <w:marLeft w:val="0"/>
              <w:marRight w:val="0"/>
              <w:marTop w:val="0"/>
              <w:marBottom w:val="0"/>
              <w:divBdr>
                <w:top w:val="none" w:sz="0" w:space="0" w:color="auto"/>
                <w:left w:val="none" w:sz="0" w:space="0" w:color="auto"/>
                <w:bottom w:val="none" w:sz="0" w:space="0" w:color="auto"/>
                <w:right w:val="none" w:sz="0" w:space="0" w:color="auto"/>
              </w:divBdr>
              <w:divsChild>
                <w:div w:id="118281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09031">
      <w:bodyDiv w:val="1"/>
      <w:marLeft w:val="0"/>
      <w:marRight w:val="0"/>
      <w:marTop w:val="0"/>
      <w:marBottom w:val="0"/>
      <w:divBdr>
        <w:top w:val="none" w:sz="0" w:space="0" w:color="auto"/>
        <w:left w:val="none" w:sz="0" w:space="0" w:color="auto"/>
        <w:bottom w:val="none" w:sz="0" w:space="0" w:color="auto"/>
        <w:right w:val="none" w:sz="0" w:space="0" w:color="auto"/>
      </w:divBdr>
      <w:divsChild>
        <w:div w:id="590046653">
          <w:marLeft w:val="0"/>
          <w:marRight w:val="0"/>
          <w:marTop w:val="0"/>
          <w:marBottom w:val="0"/>
          <w:divBdr>
            <w:top w:val="none" w:sz="0" w:space="0" w:color="auto"/>
            <w:left w:val="none" w:sz="0" w:space="0" w:color="auto"/>
            <w:bottom w:val="none" w:sz="0" w:space="0" w:color="auto"/>
            <w:right w:val="none" w:sz="0" w:space="0" w:color="auto"/>
          </w:divBdr>
          <w:divsChild>
            <w:div w:id="1811171247">
              <w:marLeft w:val="0"/>
              <w:marRight w:val="0"/>
              <w:marTop w:val="0"/>
              <w:marBottom w:val="0"/>
              <w:divBdr>
                <w:top w:val="none" w:sz="0" w:space="0" w:color="auto"/>
                <w:left w:val="none" w:sz="0" w:space="0" w:color="auto"/>
                <w:bottom w:val="none" w:sz="0" w:space="0" w:color="auto"/>
                <w:right w:val="none" w:sz="0" w:space="0" w:color="auto"/>
              </w:divBdr>
              <w:divsChild>
                <w:div w:id="203122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727050">
      <w:bodyDiv w:val="1"/>
      <w:marLeft w:val="0"/>
      <w:marRight w:val="0"/>
      <w:marTop w:val="0"/>
      <w:marBottom w:val="0"/>
      <w:divBdr>
        <w:top w:val="none" w:sz="0" w:space="0" w:color="auto"/>
        <w:left w:val="none" w:sz="0" w:space="0" w:color="auto"/>
        <w:bottom w:val="none" w:sz="0" w:space="0" w:color="auto"/>
        <w:right w:val="none" w:sz="0" w:space="0" w:color="auto"/>
      </w:divBdr>
      <w:divsChild>
        <w:div w:id="297302113">
          <w:marLeft w:val="0"/>
          <w:marRight w:val="0"/>
          <w:marTop w:val="0"/>
          <w:marBottom w:val="0"/>
          <w:divBdr>
            <w:top w:val="none" w:sz="0" w:space="0" w:color="auto"/>
            <w:left w:val="none" w:sz="0" w:space="0" w:color="auto"/>
            <w:bottom w:val="none" w:sz="0" w:space="0" w:color="auto"/>
            <w:right w:val="none" w:sz="0" w:space="0" w:color="auto"/>
          </w:divBdr>
          <w:divsChild>
            <w:div w:id="2145656948">
              <w:marLeft w:val="0"/>
              <w:marRight w:val="0"/>
              <w:marTop w:val="0"/>
              <w:marBottom w:val="0"/>
              <w:divBdr>
                <w:top w:val="none" w:sz="0" w:space="0" w:color="auto"/>
                <w:left w:val="none" w:sz="0" w:space="0" w:color="auto"/>
                <w:bottom w:val="none" w:sz="0" w:space="0" w:color="auto"/>
                <w:right w:val="none" w:sz="0" w:space="0" w:color="auto"/>
              </w:divBdr>
              <w:divsChild>
                <w:div w:id="7802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295192">
      <w:bodyDiv w:val="1"/>
      <w:marLeft w:val="0"/>
      <w:marRight w:val="0"/>
      <w:marTop w:val="0"/>
      <w:marBottom w:val="0"/>
      <w:divBdr>
        <w:top w:val="none" w:sz="0" w:space="0" w:color="auto"/>
        <w:left w:val="none" w:sz="0" w:space="0" w:color="auto"/>
        <w:bottom w:val="none" w:sz="0" w:space="0" w:color="auto"/>
        <w:right w:val="none" w:sz="0" w:space="0" w:color="auto"/>
      </w:divBdr>
      <w:divsChild>
        <w:div w:id="121536282">
          <w:marLeft w:val="0"/>
          <w:marRight w:val="0"/>
          <w:marTop w:val="0"/>
          <w:marBottom w:val="0"/>
          <w:divBdr>
            <w:top w:val="none" w:sz="0" w:space="0" w:color="auto"/>
            <w:left w:val="none" w:sz="0" w:space="0" w:color="auto"/>
            <w:bottom w:val="none" w:sz="0" w:space="0" w:color="auto"/>
            <w:right w:val="none" w:sz="0" w:space="0" w:color="auto"/>
          </w:divBdr>
          <w:divsChild>
            <w:div w:id="1584214894">
              <w:marLeft w:val="0"/>
              <w:marRight w:val="0"/>
              <w:marTop w:val="0"/>
              <w:marBottom w:val="0"/>
              <w:divBdr>
                <w:top w:val="none" w:sz="0" w:space="0" w:color="auto"/>
                <w:left w:val="none" w:sz="0" w:space="0" w:color="auto"/>
                <w:bottom w:val="none" w:sz="0" w:space="0" w:color="auto"/>
                <w:right w:val="none" w:sz="0" w:space="0" w:color="auto"/>
              </w:divBdr>
              <w:divsChild>
                <w:div w:id="1477185026">
                  <w:marLeft w:val="0"/>
                  <w:marRight w:val="0"/>
                  <w:marTop w:val="0"/>
                  <w:marBottom w:val="0"/>
                  <w:divBdr>
                    <w:top w:val="none" w:sz="0" w:space="0" w:color="auto"/>
                    <w:left w:val="none" w:sz="0" w:space="0" w:color="auto"/>
                    <w:bottom w:val="none" w:sz="0" w:space="0" w:color="auto"/>
                    <w:right w:val="none" w:sz="0" w:space="0" w:color="auto"/>
                  </w:divBdr>
                  <w:divsChild>
                    <w:div w:id="5064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1461042">
      <w:bodyDiv w:val="1"/>
      <w:marLeft w:val="0"/>
      <w:marRight w:val="0"/>
      <w:marTop w:val="0"/>
      <w:marBottom w:val="0"/>
      <w:divBdr>
        <w:top w:val="none" w:sz="0" w:space="0" w:color="auto"/>
        <w:left w:val="none" w:sz="0" w:space="0" w:color="auto"/>
        <w:bottom w:val="none" w:sz="0" w:space="0" w:color="auto"/>
        <w:right w:val="none" w:sz="0" w:space="0" w:color="auto"/>
      </w:divBdr>
      <w:divsChild>
        <w:div w:id="1359283095">
          <w:marLeft w:val="0"/>
          <w:marRight w:val="0"/>
          <w:marTop w:val="0"/>
          <w:marBottom w:val="0"/>
          <w:divBdr>
            <w:top w:val="none" w:sz="0" w:space="0" w:color="auto"/>
            <w:left w:val="none" w:sz="0" w:space="0" w:color="auto"/>
            <w:bottom w:val="none" w:sz="0" w:space="0" w:color="auto"/>
            <w:right w:val="none" w:sz="0" w:space="0" w:color="auto"/>
          </w:divBdr>
          <w:divsChild>
            <w:div w:id="1528788832">
              <w:marLeft w:val="0"/>
              <w:marRight w:val="0"/>
              <w:marTop w:val="0"/>
              <w:marBottom w:val="0"/>
              <w:divBdr>
                <w:top w:val="none" w:sz="0" w:space="0" w:color="auto"/>
                <w:left w:val="none" w:sz="0" w:space="0" w:color="auto"/>
                <w:bottom w:val="none" w:sz="0" w:space="0" w:color="auto"/>
                <w:right w:val="none" w:sz="0" w:space="0" w:color="auto"/>
              </w:divBdr>
              <w:divsChild>
                <w:div w:id="170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8342891">
      <w:bodyDiv w:val="1"/>
      <w:marLeft w:val="0"/>
      <w:marRight w:val="0"/>
      <w:marTop w:val="0"/>
      <w:marBottom w:val="0"/>
      <w:divBdr>
        <w:top w:val="none" w:sz="0" w:space="0" w:color="auto"/>
        <w:left w:val="none" w:sz="0" w:space="0" w:color="auto"/>
        <w:bottom w:val="none" w:sz="0" w:space="0" w:color="auto"/>
        <w:right w:val="none" w:sz="0" w:space="0" w:color="auto"/>
      </w:divBdr>
    </w:div>
    <w:div w:id="1273586873">
      <w:bodyDiv w:val="1"/>
      <w:marLeft w:val="0"/>
      <w:marRight w:val="0"/>
      <w:marTop w:val="0"/>
      <w:marBottom w:val="0"/>
      <w:divBdr>
        <w:top w:val="none" w:sz="0" w:space="0" w:color="auto"/>
        <w:left w:val="none" w:sz="0" w:space="0" w:color="auto"/>
        <w:bottom w:val="none" w:sz="0" w:space="0" w:color="auto"/>
        <w:right w:val="none" w:sz="0" w:space="0" w:color="auto"/>
      </w:divBdr>
      <w:divsChild>
        <w:div w:id="1125345966">
          <w:marLeft w:val="0"/>
          <w:marRight w:val="0"/>
          <w:marTop w:val="0"/>
          <w:marBottom w:val="0"/>
          <w:divBdr>
            <w:top w:val="none" w:sz="0" w:space="0" w:color="auto"/>
            <w:left w:val="none" w:sz="0" w:space="0" w:color="auto"/>
            <w:bottom w:val="none" w:sz="0" w:space="0" w:color="auto"/>
            <w:right w:val="none" w:sz="0" w:space="0" w:color="auto"/>
          </w:divBdr>
          <w:divsChild>
            <w:div w:id="1435593797">
              <w:marLeft w:val="0"/>
              <w:marRight w:val="0"/>
              <w:marTop w:val="0"/>
              <w:marBottom w:val="0"/>
              <w:divBdr>
                <w:top w:val="none" w:sz="0" w:space="0" w:color="auto"/>
                <w:left w:val="none" w:sz="0" w:space="0" w:color="auto"/>
                <w:bottom w:val="none" w:sz="0" w:space="0" w:color="auto"/>
                <w:right w:val="none" w:sz="0" w:space="0" w:color="auto"/>
              </w:divBdr>
              <w:divsChild>
                <w:div w:id="10824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365226">
      <w:bodyDiv w:val="1"/>
      <w:marLeft w:val="0"/>
      <w:marRight w:val="0"/>
      <w:marTop w:val="0"/>
      <w:marBottom w:val="0"/>
      <w:divBdr>
        <w:top w:val="none" w:sz="0" w:space="0" w:color="auto"/>
        <w:left w:val="none" w:sz="0" w:space="0" w:color="auto"/>
        <w:bottom w:val="none" w:sz="0" w:space="0" w:color="auto"/>
        <w:right w:val="none" w:sz="0" w:space="0" w:color="auto"/>
      </w:divBdr>
      <w:divsChild>
        <w:div w:id="642275416">
          <w:marLeft w:val="0"/>
          <w:marRight w:val="0"/>
          <w:marTop w:val="0"/>
          <w:marBottom w:val="0"/>
          <w:divBdr>
            <w:top w:val="none" w:sz="0" w:space="0" w:color="auto"/>
            <w:left w:val="none" w:sz="0" w:space="0" w:color="auto"/>
            <w:bottom w:val="none" w:sz="0" w:space="0" w:color="auto"/>
            <w:right w:val="none" w:sz="0" w:space="0" w:color="auto"/>
          </w:divBdr>
          <w:divsChild>
            <w:div w:id="1336616720">
              <w:marLeft w:val="0"/>
              <w:marRight w:val="0"/>
              <w:marTop w:val="0"/>
              <w:marBottom w:val="0"/>
              <w:divBdr>
                <w:top w:val="none" w:sz="0" w:space="0" w:color="auto"/>
                <w:left w:val="none" w:sz="0" w:space="0" w:color="auto"/>
                <w:bottom w:val="none" w:sz="0" w:space="0" w:color="auto"/>
                <w:right w:val="none" w:sz="0" w:space="0" w:color="auto"/>
              </w:divBdr>
              <w:divsChild>
                <w:div w:id="31368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339332">
      <w:bodyDiv w:val="1"/>
      <w:marLeft w:val="0"/>
      <w:marRight w:val="0"/>
      <w:marTop w:val="0"/>
      <w:marBottom w:val="0"/>
      <w:divBdr>
        <w:top w:val="none" w:sz="0" w:space="0" w:color="auto"/>
        <w:left w:val="none" w:sz="0" w:space="0" w:color="auto"/>
        <w:bottom w:val="none" w:sz="0" w:space="0" w:color="auto"/>
        <w:right w:val="none" w:sz="0" w:space="0" w:color="auto"/>
      </w:divBdr>
    </w:div>
    <w:div w:id="1854225518">
      <w:bodyDiv w:val="1"/>
      <w:marLeft w:val="0"/>
      <w:marRight w:val="0"/>
      <w:marTop w:val="0"/>
      <w:marBottom w:val="0"/>
      <w:divBdr>
        <w:top w:val="none" w:sz="0" w:space="0" w:color="auto"/>
        <w:left w:val="none" w:sz="0" w:space="0" w:color="auto"/>
        <w:bottom w:val="none" w:sz="0" w:space="0" w:color="auto"/>
        <w:right w:val="none" w:sz="0" w:space="0" w:color="auto"/>
      </w:divBdr>
      <w:divsChild>
        <w:div w:id="1590457465">
          <w:marLeft w:val="0"/>
          <w:marRight w:val="0"/>
          <w:marTop w:val="0"/>
          <w:marBottom w:val="0"/>
          <w:divBdr>
            <w:top w:val="none" w:sz="0" w:space="0" w:color="auto"/>
            <w:left w:val="none" w:sz="0" w:space="0" w:color="auto"/>
            <w:bottom w:val="none" w:sz="0" w:space="0" w:color="auto"/>
            <w:right w:val="none" w:sz="0" w:space="0" w:color="auto"/>
          </w:divBdr>
          <w:divsChild>
            <w:div w:id="638264315">
              <w:marLeft w:val="0"/>
              <w:marRight w:val="0"/>
              <w:marTop w:val="0"/>
              <w:marBottom w:val="0"/>
              <w:divBdr>
                <w:top w:val="none" w:sz="0" w:space="0" w:color="auto"/>
                <w:left w:val="none" w:sz="0" w:space="0" w:color="auto"/>
                <w:bottom w:val="none" w:sz="0" w:space="0" w:color="auto"/>
                <w:right w:val="none" w:sz="0" w:space="0" w:color="auto"/>
              </w:divBdr>
              <w:divsChild>
                <w:div w:id="315494866">
                  <w:marLeft w:val="0"/>
                  <w:marRight w:val="0"/>
                  <w:marTop w:val="0"/>
                  <w:marBottom w:val="0"/>
                  <w:divBdr>
                    <w:top w:val="none" w:sz="0" w:space="0" w:color="auto"/>
                    <w:left w:val="none" w:sz="0" w:space="0" w:color="auto"/>
                    <w:bottom w:val="none" w:sz="0" w:space="0" w:color="auto"/>
                    <w:right w:val="none" w:sz="0" w:space="0" w:color="auto"/>
                  </w:divBdr>
                  <w:divsChild>
                    <w:div w:id="3855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4519814">
      <w:bodyDiv w:val="1"/>
      <w:marLeft w:val="0"/>
      <w:marRight w:val="0"/>
      <w:marTop w:val="0"/>
      <w:marBottom w:val="0"/>
      <w:divBdr>
        <w:top w:val="none" w:sz="0" w:space="0" w:color="auto"/>
        <w:left w:val="none" w:sz="0" w:space="0" w:color="auto"/>
        <w:bottom w:val="none" w:sz="0" w:space="0" w:color="auto"/>
        <w:right w:val="none" w:sz="0" w:space="0" w:color="auto"/>
      </w:divBdr>
      <w:divsChild>
        <w:div w:id="583612463">
          <w:marLeft w:val="0"/>
          <w:marRight w:val="0"/>
          <w:marTop w:val="0"/>
          <w:marBottom w:val="0"/>
          <w:divBdr>
            <w:top w:val="none" w:sz="0" w:space="0" w:color="auto"/>
            <w:left w:val="none" w:sz="0" w:space="0" w:color="auto"/>
            <w:bottom w:val="none" w:sz="0" w:space="0" w:color="auto"/>
            <w:right w:val="none" w:sz="0" w:space="0" w:color="auto"/>
          </w:divBdr>
        </w:div>
      </w:divsChild>
    </w:div>
    <w:div w:id="2129934330">
      <w:bodyDiv w:val="1"/>
      <w:marLeft w:val="0"/>
      <w:marRight w:val="0"/>
      <w:marTop w:val="0"/>
      <w:marBottom w:val="0"/>
      <w:divBdr>
        <w:top w:val="none" w:sz="0" w:space="0" w:color="auto"/>
        <w:left w:val="none" w:sz="0" w:space="0" w:color="auto"/>
        <w:bottom w:val="none" w:sz="0" w:space="0" w:color="auto"/>
        <w:right w:val="none" w:sz="0" w:space="0" w:color="auto"/>
      </w:divBdr>
      <w:divsChild>
        <w:div w:id="204831456">
          <w:marLeft w:val="0"/>
          <w:marRight w:val="0"/>
          <w:marTop w:val="0"/>
          <w:marBottom w:val="0"/>
          <w:divBdr>
            <w:top w:val="none" w:sz="0" w:space="0" w:color="auto"/>
            <w:left w:val="none" w:sz="0" w:space="0" w:color="auto"/>
            <w:bottom w:val="none" w:sz="0" w:space="0" w:color="auto"/>
            <w:right w:val="none" w:sz="0" w:space="0" w:color="auto"/>
          </w:divBdr>
          <w:divsChild>
            <w:div w:id="1311523975">
              <w:marLeft w:val="0"/>
              <w:marRight w:val="0"/>
              <w:marTop w:val="0"/>
              <w:marBottom w:val="0"/>
              <w:divBdr>
                <w:top w:val="none" w:sz="0" w:space="0" w:color="auto"/>
                <w:left w:val="none" w:sz="0" w:space="0" w:color="auto"/>
                <w:bottom w:val="none" w:sz="0" w:space="0" w:color="auto"/>
                <w:right w:val="none" w:sz="0" w:space="0" w:color="auto"/>
              </w:divBdr>
              <w:divsChild>
                <w:div w:id="35581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cha.europa.eu/it/candidate-list-table"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eur-lex.europa.eu/legalcontent/IT/TXT/PDF/?uri=CELEX:32006R1907R(01)"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eurlex.europa.eu/LexUriServ/LexUriServ.do?uri=OJ:L:2011:174:0088:0110:IT:PDF"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https://eurlex.europa.eu/legal-content/IT/TXT/PDF/?uri=CELEX:32009R1005&amp;from=IT"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3" ma:contentTypeDescription="Creare un nuovo documento." ma:contentTypeScope="" ma:versionID="4936b3f4bf7fe00f4a4e0611bdfee019">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4da8769f630fbc126690f343c9b49dcf"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82ef69b8-65d5-47b2-8f4a-2e09ed143efe" xsi:nil="true"/>
  </documentManagement>
</p:properties>
</file>

<file path=customXml/itemProps1.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2.xml><?xml version="1.0" encoding="utf-8"?>
<ds:datastoreItem xmlns:ds="http://schemas.openxmlformats.org/officeDocument/2006/customXml" ds:itemID="{25EDA9B9-1679-4779-9D34-08690B89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 ds:uri="82ef69b8-65d5-47b2-8f4a-2e09ed143ef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758</Words>
  <Characters>4324</Characters>
  <Application>Microsoft Office Word</Application>
  <DocSecurity>0</DocSecurity>
  <Lines>36</Lines>
  <Paragraphs>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di Microsoft Office</dc:creator>
  <cp:lastModifiedBy>ANTONIO ALBANO</cp:lastModifiedBy>
  <cp:revision>4</cp:revision>
  <dcterms:created xsi:type="dcterms:W3CDTF">2024-05-13T11:24:00Z</dcterms:created>
  <dcterms:modified xsi:type="dcterms:W3CDTF">2024-07-24T10:36:00Z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