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087D8B"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PATTO DI INTEGRITÀ</w:t>
      </w:r>
    </w:p>
    <w:p w14:paraId="01C4F180"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b/>
          <w:bCs/>
        </w:rPr>
        <w:t>TRA IL CONSIGLIO NAZIONALE DELLE RICERCHE E GLI OPERATORI ECONOMICI PARTECIPANTI ALLE PROCEDURE DI AFFIDAMENTO DI</w:t>
      </w:r>
      <w:r w:rsidRPr="00D22E3D">
        <w:rPr>
          <w:rFonts w:ascii="Century Gothic" w:hAnsi="Century Gothic" w:cs="Times New Roman"/>
          <w:b/>
          <w:bCs/>
          <w:color w:val="FF0000"/>
        </w:rPr>
        <w:t xml:space="preserve"> </w:t>
      </w:r>
      <w:r w:rsidRPr="007B5416">
        <w:rPr>
          <w:rFonts w:ascii="Century Gothic" w:hAnsi="Century Gothic" w:cs="Times New Roman"/>
          <w:b/>
          <w:bCs/>
        </w:rPr>
        <w:t xml:space="preserve">SERVIZI E FORNITURE AI SENSI DEL D.LGS. </w:t>
      </w:r>
      <w:r>
        <w:rPr>
          <w:rFonts w:ascii="Century Gothic" w:hAnsi="Century Gothic" w:cs="Times New Roman"/>
          <w:b/>
          <w:bCs/>
        </w:rPr>
        <w:t>36/2023</w:t>
      </w:r>
    </w:p>
    <w:p w14:paraId="7B717138" w14:textId="24849B76" w:rsidR="00497138" w:rsidRDefault="00497138" w:rsidP="00497138">
      <w:pPr>
        <w:autoSpaceDE w:val="0"/>
        <w:autoSpaceDN w:val="0"/>
        <w:adjustRightInd w:val="0"/>
        <w:jc w:val="both"/>
        <w:rPr>
          <w:rFonts w:ascii="Century Gothic" w:hAnsi="Century Gothic"/>
        </w:rPr>
      </w:pPr>
      <w:r w:rsidRPr="00380399">
        <w:rPr>
          <w:rFonts w:ascii="Century Gothic" w:hAnsi="Century Gothic"/>
        </w:rPr>
        <w:t>Relativo all’a</w:t>
      </w:r>
      <w:r>
        <w:rPr>
          <w:rFonts w:ascii="Century Gothic" w:hAnsi="Century Gothic"/>
        </w:rPr>
        <w:t xml:space="preserve">ffidamento </w:t>
      </w:r>
      <w:r w:rsidR="008E2C49" w:rsidRPr="008E2C49">
        <w:rPr>
          <w:rFonts w:ascii="Century Gothic" w:hAnsi="Century Gothic"/>
        </w:rPr>
        <w:t>della fornitura di un sistema per spettroscopia di fotoelettroni a raggi</w:t>
      </w:r>
      <w:r w:rsidR="008E2C49" w:rsidRPr="008E2C49">
        <w:rPr>
          <w:rFonts w:ascii="Century Gothic" w:hAnsi="Century Gothic"/>
        </w:rPr>
        <w:t xml:space="preserve"> X (XPS)</w:t>
      </w:r>
      <w:r w:rsidRPr="00FC60F7">
        <w:rPr>
          <w:rFonts w:ascii="Century Gothic" w:hAnsi="Century Gothic"/>
        </w:rPr>
        <w:t xml:space="preserve"> nell’ambito del Piano Nazionale Ripresa e Resilienza (PNRR) missione </w:t>
      </w:r>
      <w:r w:rsidR="008E2C49" w:rsidRPr="008E2C49">
        <w:rPr>
          <w:rFonts w:ascii="Century Gothic" w:hAnsi="Century Gothic"/>
        </w:rPr>
        <w:t>04 “ISTRUZIONE E RICERCA”</w:t>
      </w:r>
      <w:r w:rsidR="008E2C49" w:rsidRPr="00FC60F7">
        <w:rPr>
          <w:rFonts w:ascii="Century Gothic" w:hAnsi="Century Gothic"/>
        </w:rPr>
        <w:t xml:space="preserve"> </w:t>
      </w:r>
      <w:r w:rsidRPr="00FC60F7">
        <w:rPr>
          <w:rFonts w:ascii="Century Gothic" w:hAnsi="Century Gothic"/>
        </w:rPr>
        <w:t xml:space="preserve">componente </w:t>
      </w:r>
      <w:r w:rsidR="008E2C49" w:rsidRPr="008E2C49">
        <w:rPr>
          <w:rFonts w:ascii="Century Gothic" w:hAnsi="Century Gothic"/>
        </w:rPr>
        <w:t>2 “DALLA RICERCA ALL’IMPRESA”</w:t>
      </w:r>
      <w:r w:rsidRPr="00FC60F7">
        <w:rPr>
          <w:rFonts w:ascii="Century Gothic" w:hAnsi="Century Gothic"/>
        </w:rPr>
        <w:t xml:space="preserve"> </w:t>
      </w:r>
      <w:r>
        <w:rPr>
          <w:rFonts w:ascii="Century Gothic" w:hAnsi="Century Gothic"/>
        </w:rPr>
        <w:t>investimento</w:t>
      </w:r>
      <w:r w:rsidRPr="00FC60F7">
        <w:rPr>
          <w:rFonts w:ascii="Century Gothic" w:hAnsi="Century Gothic"/>
        </w:rPr>
        <w:t xml:space="preserve"> </w:t>
      </w:r>
      <w:r w:rsidR="008E2C49" w:rsidRPr="008E2C49">
        <w:rPr>
          <w:rFonts w:ascii="Century Gothic" w:hAnsi="Century Gothic"/>
        </w:rPr>
        <w:t>3.1 “RAFFORZAMENTO E CREAZIONE DI IR NELL’AMBITO DEL PIANO NAZIONALE DI RIPRESA E RESILIENZA” (PNRR)</w:t>
      </w:r>
      <w:r w:rsidR="008E2C49" w:rsidRPr="00FC60F7">
        <w:rPr>
          <w:rFonts w:ascii="Century Gothic" w:hAnsi="Century Gothic"/>
        </w:rPr>
        <w:t xml:space="preserve"> </w:t>
      </w:r>
      <w:r>
        <w:rPr>
          <w:rFonts w:ascii="Century Gothic" w:hAnsi="Century Gothic"/>
        </w:rPr>
        <w:t xml:space="preserve">progetto </w:t>
      </w:r>
      <w:r w:rsidR="008E2C49" w:rsidRPr="008E2C49">
        <w:rPr>
          <w:rFonts w:ascii="Century Gothic" w:hAnsi="Century Gothic"/>
        </w:rPr>
        <w:t>ECCSELLENT</w:t>
      </w:r>
      <w:r w:rsidR="008E2C49">
        <w:rPr>
          <w:rFonts w:ascii="Century Gothic" w:hAnsi="Century Gothic"/>
        </w:rPr>
        <w:t xml:space="preserve"> </w:t>
      </w:r>
      <w:r w:rsidRPr="00FC60F7">
        <w:rPr>
          <w:rFonts w:ascii="Century Gothic" w:hAnsi="Century Gothic"/>
        </w:rPr>
        <w:t xml:space="preserve">CUP </w:t>
      </w:r>
      <w:r w:rsidR="008E2C49" w:rsidRPr="008E2C49">
        <w:rPr>
          <w:rFonts w:ascii="Century Gothic" w:hAnsi="Century Gothic"/>
        </w:rPr>
        <w:t>F53C22000560006</w:t>
      </w:r>
      <w:r w:rsidRPr="00FC60F7">
        <w:rPr>
          <w:rFonts w:ascii="Century Gothic" w:hAnsi="Century Gothic"/>
        </w:rPr>
        <w:t xml:space="preserve"> CIG [</w:t>
      </w:r>
      <w:r w:rsidRPr="00FC60F7">
        <w:rPr>
          <w:rFonts w:ascii="Century Gothic" w:hAnsi="Century Gothic"/>
          <w:highlight w:val="yellow"/>
        </w:rPr>
        <w:t>completare</w:t>
      </w:r>
      <w:r w:rsidRPr="00FC60F7">
        <w:rPr>
          <w:rFonts w:ascii="Century Gothic" w:hAnsi="Century Gothic"/>
        </w:rPr>
        <w:t>]</w:t>
      </w:r>
    </w:p>
    <w:p w14:paraId="4A117A9D" w14:textId="77777777" w:rsidR="00497138" w:rsidRPr="007B5416" w:rsidRDefault="00497138" w:rsidP="00497138">
      <w:pPr>
        <w:autoSpaceDE w:val="0"/>
        <w:autoSpaceDN w:val="0"/>
        <w:adjustRightInd w:val="0"/>
        <w:jc w:val="both"/>
        <w:rPr>
          <w:rFonts w:ascii="Century Gothic" w:hAnsi="Century Gothic"/>
          <w:bCs/>
        </w:rPr>
      </w:pPr>
    </w:p>
    <w:p w14:paraId="1B99C0F7" w14:textId="77777777" w:rsidR="00497138" w:rsidRPr="007B5416" w:rsidRDefault="00497138" w:rsidP="00497138">
      <w:pPr>
        <w:tabs>
          <w:tab w:val="left" w:pos="2505"/>
          <w:tab w:val="center" w:pos="4819"/>
        </w:tabs>
        <w:rPr>
          <w:rFonts w:ascii="Century Gothic" w:hAnsi="Century Gothic" w:cs="Times New Roman"/>
          <w:b/>
        </w:rPr>
      </w:pPr>
      <w:r w:rsidRPr="007B5416">
        <w:rPr>
          <w:rFonts w:ascii="Century Gothic" w:hAnsi="Century Gothic" w:cs="Times New Roman"/>
          <w:b/>
        </w:rPr>
        <w:tab/>
      </w:r>
      <w:r w:rsidRPr="007B5416">
        <w:rPr>
          <w:rFonts w:ascii="Century Gothic" w:hAnsi="Century Gothic" w:cs="Times New Roman"/>
          <w:b/>
        </w:rPr>
        <w:tab/>
        <w:t>TRA</w:t>
      </w:r>
    </w:p>
    <w:p w14:paraId="748C74BB" w14:textId="0B3B10A2" w:rsidR="00497138" w:rsidRDefault="008E2C49" w:rsidP="00497138">
      <w:pPr>
        <w:jc w:val="both"/>
        <w:rPr>
          <w:rFonts w:ascii="Century Gothic" w:hAnsi="Century Gothic" w:cs="Times New Roman"/>
        </w:rPr>
      </w:pPr>
      <w:r w:rsidRPr="008E2C49">
        <w:rPr>
          <w:rFonts w:ascii="Century Gothic" w:hAnsi="Century Gothic" w:cs="Times New Roman"/>
        </w:rPr>
        <w:t xml:space="preserve">L’Istituto di Scienze e Tecnologie per l’Energia e la Mobilità Sostenibili del CNR - C.F. 80054330586 (di seguito denominato CNR o Amministrazione) – in persona del Direttore facente funzione Dott.ssa Bianca Maria </w:t>
      </w:r>
      <w:proofErr w:type="spellStart"/>
      <w:r w:rsidRPr="008E2C49">
        <w:rPr>
          <w:rFonts w:ascii="Century Gothic" w:hAnsi="Century Gothic" w:cs="Times New Roman"/>
        </w:rPr>
        <w:t>Vaglieco</w:t>
      </w:r>
      <w:proofErr w:type="spellEnd"/>
      <w:r w:rsidRPr="008E2C49">
        <w:rPr>
          <w:rFonts w:ascii="Century Gothic" w:hAnsi="Century Gothic" w:cs="Times New Roman"/>
        </w:rPr>
        <w:t>;</w:t>
      </w:r>
    </w:p>
    <w:p w14:paraId="5152447F" w14:textId="77777777" w:rsidR="008E2C49" w:rsidRPr="007B5416" w:rsidRDefault="008E2C49" w:rsidP="00497138">
      <w:pPr>
        <w:jc w:val="both"/>
        <w:rPr>
          <w:rFonts w:ascii="Century Gothic" w:hAnsi="Century Gothic" w:cs="Times New Roman"/>
        </w:rPr>
      </w:pPr>
    </w:p>
    <w:p w14:paraId="4B672231" w14:textId="77777777" w:rsidR="00497138" w:rsidRDefault="00497138" w:rsidP="00497138">
      <w:pPr>
        <w:jc w:val="center"/>
        <w:rPr>
          <w:rFonts w:ascii="Century Gothic" w:hAnsi="Century Gothic" w:cs="Times New Roman"/>
          <w:b/>
        </w:rPr>
      </w:pPr>
      <w:r w:rsidRPr="007B5416">
        <w:rPr>
          <w:rFonts w:ascii="Century Gothic" w:hAnsi="Century Gothic" w:cs="Times New Roman"/>
          <w:b/>
        </w:rPr>
        <w:t>E</w:t>
      </w:r>
    </w:p>
    <w:p w14:paraId="047F57E8" w14:textId="77777777" w:rsidR="008E2C49" w:rsidRPr="007B5416" w:rsidRDefault="008E2C49" w:rsidP="00497138">
      <w:pPr>
        <w:jc w:val="center"/>
        <w:rPr>
          <w:rFonts w:ascii="Century Gothic" w:hAnsi="Century Gothic" w:cs="Times New Roman"/>
          <w:b/>
        </w:rPr>
      </w:pPr>
    </w:p>
    <w:p w14:paraId="4E97A02B" w14:textId="77777777" w:rsidR="00497138" w:rsidRPr="00A34D3E" w:rsidRDefault="00497138" w:rsidP="00497138">
      <w:pPr>
        <w:pStyle w:val="Default"/>
        <w:rPr>
          <w:rFonts w:ascii="Century Gothic" w:hAnsi="Century Gothic"/>
          <w:sz w:val="22"/>
          <w:szCs w:val="22"/>
        </w:rPr>
      </w:pPr>
      <w:r w:rsidRPr="00A34D3E">
        <w:rPr>
          <w:rFonts w:ascii="Century Gothic" w:hAnsi="Century Gothic"/>
          <w:sz w:val="22"/>
          <w:szCs w:val="22"/>
        </w:rPr>
        <w:t xml:space="preserve">L’operatore economico </w:t>
      </w:r>
      <w:r w:rsidRPr="00A34D3E">
        <w:rPr>
          <w:b/>
          <w:bCs/>
          <w:sz w:val="22"/>
          <w:szCs w:val="22"/>
        </w:rPr>
        <w:t xml:space="preserve">[…] </w:t>
      </w:r>
      <w:r w:rsidRPr="00A34D3E">
        <w:rPr>
          <w:rFonts w:ascii="Century Gothic" w:hAnsi="Century Gothic"/>
          <w:sz w:val="22"/>
          <w:szCs w:val="22"/>
        </w:rPr>
        <w:t>(di   seguito Operatore Economico) con sede legale in […] C.F./ P. IVA […]  rappresentato da […] in qualità di […]</w:t>
      </w:r>
    </w:p>
    <w:p w14:paraId="29E880D1" w14:textId="77777777" w:rsidR="00497138" w:rsidRDefault="00497138" w:rsidP="00497138">
      <w:pPr>
        <w:jc w:val="center"/>
        <w:rPr>
          <w:rFonts w:ascii="Century Gothic" w:hAnsi="Century Gothic" w:cs="Times New Roman"/>
          <w:b/>
        </w:rPr>
      </w:pPr>
    </w:p>
    <w:p w14:paraId="57A29AAE"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VISTO</w:t>
      </w:r>
    </w:p>
    <w:p w14:paraId="1414ED5D" w14:textId="77777777" w:rsidR="00497138" w:rsidRPr="002A1130" w:rsidRDefault="00497138" w:rsidP="00497138">
      <w:pPr>
        <w:jc w:val="both"/>
        <w:rPr>
          <w:rFonts w:ascii="Century Gothic" w:hAnsi="Century Gothic" w:cs="Times New Roman"/>
        </w:rPr>
      </w:pPr>
      <w:r w:rsidRPr="002A1130">
        <w:rPr>
          <w:rFonts w:ascii="Century Gothic" w:hAnsi="Century Gothic" w:cs="Times New Roman"/>
        </w:rPr>
        <w:t>- l’art.1, comma 17, della Legge 6 novembre 2012, n.190, recante “Disposizioni per la prevenzione e la repressione della corruzione e dell’illegalità nella pubblica Amministrazione”;</w:t>
      </w:r>
    </w:p>
    <w:p w14:paraId="01E2CEB3"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il Piano Nazionale Anticorruzione 20</w:t>
      </w:r>
      <w:r>
        <w:rPr>
          <w:rFonts w:ascii="Century Gothic" w:hAnsi="Century Gothic" w:cs="Times New Roman"/>
        </w:rPr>
        <w:t>22</w:t>
      </w:r>
      <w:r w:rsidRPr="007B5416">
        <w:rPr>
          <w:rFonts w:ascii="Century Gothic" w:hAnsi="Century Gothic" w:cs="Times New Roman"/>
        </w:rPr>
        <w:t xml:space="preserve"> approvato dall’Autorità Nazionale Anticorruzione (di seguito denominata ANAC) con Delibera n. </w:t>
      </w:r>
      <w:r>
        <w:rPr>
          <w:rFonts w:ascii="Century Gothic" w:hAnsi="Century Gothic" w:cs="Times New Roman"/>
        </w:rPr>
        <w:t>7</w:t>
      </w:r>
      <w:r w:rsidRPr="007B5416">
        <w:rPr>
          <w:rFonts w:ascii="Century Gothic" w:hAnsi="Century Gothic" w:cs="Times New Roman"/>
        </w:rPr>
        <w:t xml:space="preserve"> del </w:t>
      </w:r>
      <w:r>
        <w:rPr>
          <w:rFonts w:ascii="Century Gothic" w:hAnsi="Century Gothic" w:cs="Times New Roman"/>
        </w:rPr>
        <w:t>17</w:t>
      </w:r>
      <w:r w:rsidRPr="007B5416">
        <w:rPr>
          <w:rFonts w:ascii="Century Gothic" w:hAnsi="Century Gothic" w:cs="Times New Roman"/>
        </w:rPr>
        <w:t xml:space="preserve"> </w:t>
      </w:r>
      <w:r>
        <w:rPr>
          <w:rFonts w:ascii="Century Gothic" w:hAnsi="Century Gothic" w:cs="Times New Roman"/>
        </w:rPr>
        <w:t>gennaio</w:t>
      </w:r>
      <w:r w:rsidRPr="007B5416">
        <w:rPr>
          <w:rFonts w:ascii="Century Gothic" w:hAnsi="Century Gothic" w:cs="Times New Roman"/>
        </w:rPr>
        <w:t xml:space="preserve"> 20</w:t>
      </w:r>
      <w:r>
        <w:rPr>
          <w:rFonts w:ascii="Century Gothic" w:hAnsi="Century Gothic" w:cs="Times New Roman"/>
        </w:rPr>
        <w:t>23</w:t>
      </w:r>
      <w:r w:rsidRPr="007B5416">
        <w:rPr>
          <w:rFonts w:ascii="Century Gothic" w:hAnsi="Century Gothic" w:cs="Times New Roman"/>
        </w:rPr>
        <w:t xml:space="preserve"> e successivi aggiornamenti;</w:t>
      </w:r>
    </w:p>
    <w:p w14:paraId="75204832" w14:textId="77777777" w:rsidR="00497138" w:rsidRPr="002A1130" w:rsidRDefault="00497138" w:rsidP="00497138">
      <w:pPr>
        <w:jc w:val="both"/>
        <w:rPr>
          <w:rFonts w:ascii="Century Gothic" w:hAnsi="Century Gothic" w:cs="Times New Roman"/>
        </w:rPr>
      </w:pPr>
      <w:r w:rsidRPr="002A1130">
        <w:rPr>
          <w:rFonts w:ascii="Century Gothic" w:hAnsi="Century Gothic" w:cs="Times New Roman"/>
        </w:rPr>
        <w:t xml:space="preserve">- il D.lgs. 31 marzo 2023, n. 36 recante “Codice dei contratti pubblici in attuazione dell'articolo 1 della legge 21 giugno 2022, n. 78, recante delega al Governo in materia di contratti pubblici” (di seguito denominato Codice dei Contratti pubblici); </w:t>
      </w:r>
    </w:p>
    <w:p w14:paraId="727E9595" w14:textId="77777777" w:rsidR="00497138" w:rsidRPr="002A1130" w:rsidRDefault="00497138" w:rsidP="00497138">
      <w:pPr>
        <w:jc w:val="both"/>
        <w:rPr>
          <w:rFonts w:ascii="Century Gothic" w:hAnsi="Century Gothic" w:cs="Times New Roman"/>
        </w:rPr>
      </w:pPr>
      <w:r w:rsidRPr="002A1130">
        <w:rPr>
          <w:rFonts w:ascii="Century Gothic" w:hAnsi="Century Gothic" w:cs="Times New Roman"/>
        </w:rPr>
        <w:t xml:space="preserve">- Piano Integrato di Attività e Organizzazione (PIAO) 2023-2025 del Consiglio Nazionale delle Ricerche (CNR), adottato con delibera del </w:t>
      </w:r>
      <w:proofErr w:type="gramStart"/>
      <w:r w:rsidRPr="002A1130">
        <w:rPr>
          <w:rFonts w:ascii="Century Gothic" w:hAnsi="Century Gothic" w:cs="Times New Roman"/>
        </w:rPr>
        <w:t>Consiglio di Amministrazione</w:t>
      </w:r>
      <w:proofErr w:type="gramEnd"/>
      <w:r w:rsidRPr="002A1130">
        <w:rPr>
          <w:rFonts w:ascii="Century Gothic" w:hAnsi="Century Gothic" w:cs="Times New Roman"/>
        </w:rPr>
        <w:t xml:space="preserve"> n. 77/2023 del 21 marzo 2023;</w:t>
      </w:r>
    </w:p>
    <w:p w14:paraId="7D3D69CA" w14:textId="77777777" w:rsidR="00497138" w:rsidRPr="002A1130" w:rsidRDefault="00497138" w:rsidP="00497138">
      <w:pPr>
        <w:jc w:val="both"/>
        <w:rPr>
          <w:rFonts w:ascii="Century Gothic" w:hAnsi="Century Gothic" w:cs="Times New Roman"/>
        </w:rPr>
      </w:pPr>
      <w:r w:rsidRPr="002A1130">
        <w:rPr>
          <w:rFonts w:ascii="Century Gothic" w:hAnsi="Century Gothic" w:cs="Times New Roman"/>
        </w:rPr>
        <w:t>- il D.P.R. 16 aprile 2013, n. 62, con il quale è stato emanato il “Regolamento recante codice di comportamento dei dipendenti pubblici, a norma dell’art. 54 del decreto legislativo 30 marzo 2001, n. 165”;</w:t>
      </w:r>
    </w:p>
    <w:p w14:paraId="3810638B" w14:textId="77777777" w:rsidR="00497138" w:rsidRDefault="00497138" w:rsidP="00497138">
      <w:pPr>
        <w:jc w:val="both"/>
        <w:rPr>
          <w:rFonts w:ascii="Century Gothic" w:hAnsi="Century Gothic" w:cs="Times New Roman"/>
        </w:rPr>
      </w:pPr>
      <w:r w:rsidRPr="002A1130">
        <w:rPr>
          <w:rFonts w:ascii="Century Gothic" w:hAnsi="Century Gothic" w:cs="Times New Roman"/>
        </w:rPr>
        <w:t>- il Codice di comportamento dei dipendenti del CNR, adottato con delibera del Consiglio di amministrazione n. 132/2014 del 10 luglio 2014, aggiornato con delibera n. 137/2017 del 17 ottobre 2017;</w:t>
      </w:r>
    </w:p>
    <w:p w14:paraId="67C79A65"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L’AMMINISTRAZIONE e L’OPERATORE ECONOMICO CONVENGONO QUANTO SEGUE</w:t>
      </w:r>
    </w:p>
    <w:p w14:paraId="6F7AF8CB"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Articolo 1</w:t>
      </w:r>
    </w:p>
    <w:p w14:paraId="5BA7775C"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(Finalità ed ambito di applicazione)</w:t>
      </w:r>
    </w:p>
    <w:p w14:paraId="429AE8C0"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lastRenderedPageBreak/>
        <w:t xml:space="preserve">1. Il presente Patto di integrità rappresenta una misura di prevenzione nei confronti di pratiche corruttive, </w:t>
      </w:r>
      <w:proofErr w:type="spellStart"/>
      <w:r w:rsidRPr="007B5416">
        <w:rPr>
          <w:rFonts w:ascii="Century Gothic" w:hAnsi="Century Gothic" w:cs="Times New Roman"/>
        </w:rPr>
        <w:t>concussive</w:t>
      </w:r>
      <w:proofErr w:type="spellEnd"/>
      <w:r w:rsidRPr="007B5416">
        <w:rPr>
          <w:rFonts w:ascii="Century Gothic" w:hAnsi="Century Gothic" w:cs="Times New Roman"/>
        </w:rPr>
        <w:t xml:space="preserve"> o comunque tendenti ad inficiare il corretto svolgimento dell’azione amministrativa nell’ambito dei pubblici appalti banditi dall’Amministrazione.</w:t>
      </w:r>
    </w:p>
    <w:p w14:paraId="4BDFEFE8"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2. Nel Patto sono stabilite reciproche e formali obbligazioni tra l’Amministrazione ed ogni Operatore Economico partecipante alla procedura di gara ed eventualmente aggiudicatario della stessa, al fine di conformare i propri comportamenti ai principi di lealtà, trasparenza e correttezza in tutte le fasi dell’appalto, dalla partecipazione alla esecuzione contrattuale.</w:t>
      </w:r>
    </w:p>
    <w:p w14:paraId="69036F2C"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3.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e/o per distorcerne la relativa corretta esecuzione in corso d’opera.</w:t>
      </w:r>
    </w:p>
    <w:p w14:paraId="43CCC74C" w14:textId="77777777" w:rsidR="00497138" w:rsidRPr="007B5416" w:rsidRDefault="00497138" w:rsidP="00497138">
      <w:pPr>
        <w:jc w:val="both"/>
        <w:rPr>
          <w:rFonts w:ascii="Century Gothic" w:hAnsi="Century Gothic" w:cs="Times New Roman"/>
          <w:b/>
          <w:bCs/>
        </w:rPr>
      </w:pPr>
      <w:r w:rsidRPr="007B5416">
        <w:rPr>
          <w:rFonts w:ascii="Century Gothic" w:hAnsi="Century Gothic" w:cs="Times New Roman"/>
        </w:rPr>
        <w:t>4. Il presente Patto trova applicazione in tutte le procedure di gara sopra e sottosoglia comunitaria</w:t>
      </w:r>
      <w:r w:rsidRPr="007B5416">
        <w:rPr>
          <w:rFonts w:ascii="Century Gothic" w:hAnsi="Century Gothic" w:cs="Times New Roman"/>
          <w:b/>
          <w:bCs/>
        </w:rPr>
        <w:t xml:space="preserve">, </w:t>
      </w:r>
      <w:r w:rsidRPr="007B5416">
        <w:rPr>
          <w:rFonts w:ascii="Century Gothic" w:hAnsi="Century Gothic" w:cs="Times New Roman"/>
        </w:rPr>
        <w:t xml:space="preserve">salvo che per l’affidamento specifico sussista già un apposito Patto di integrità predisposto da altro soggetto giuridico (ad es. Consip). Nelle procedure sottosoglia si intendono ricompresi anche gli affidamenti diretti effettuati </w:t>
      </w:r>
      <w:r w:rsidRPr="008341C6">
        <w:rPr>
          <w:rFonts w:ascii="Century Gothic" w:hAnsi="Century Gothic" w:cs="Times New Roman"/>
        </w:rPr>
        <w:t>entro</w:t>
      </w:r>
      <w:r w:rsidRPr="00D22E3D">
        <w:rPr>
          <w:rFonts w:ascii="Century Gothic" w:hAnsi="Century Gothic" w:cs="Times New Roman"/>
          <w:color w:val="FF0000"/>
        </w:rPr>
        <w:t xml:space="preserve"> </w:t>
      </w:r>
      <w:r w:rsidRPr="007B5416">
        <w:rPr>
          <w:rFonts w:ascii="Century Gothic" w:hAnsi="Century Gothic" w:cs="Times New Roman"/>
        </w:rPr>
        <w:t xml:space="preserve">il limite dei </w:t>
      </w:r>
      <w:r>
        <w:rPr>
          <w:rFonts w:ascii="Century Gothic" w:hAnsi="Century Gothic" w:cs="Times New Roman"/>
        </w:rPr>
        <w:t>139</w:t>
      </w:r>
      <w:r w:rsidRPr="007B5416">
        <w:rPr>
          <w:rFonts w:ascii="Century Gothic" w:hAnsi="Century Gothic" w:cs="Times New Roman"/>
        </w:rPr>
        <w:t>.000,00 euro (</w:t>
      </w:r>
      <w:r w:rsidRPr="008341C6">
        <w:rPr>
          <w:rFonts w:ascii="Century Gothic" w:hAnsi="Century Gothic" w:cs="Times New Roman"/>
        </w:rPr>
        <w:t>centoquarantamila euro</w:t>
      </w:r>
      <w:r>
        <w:rPr>
          <w:rFonts w:ascii="Century Gothic" w:hAnsi="Century Gothic" w:cs="Times New Roman"/>
        </w:rPr>
        <w:t>/00</w:t>
      </w:r>
      <w:r w:rsidRPr="007B5416">
        <w:rPr>
          <w:rFonts w:ascii="Century Gothic" w:hAnsi="Century Gothic" w:cs="Times New Roman"/>
        </w:rPr>
        <w:t>)</w:t>
      </w:r>
      <w:r w:rsidRPr="007B5416">
        <w:rPr>
          <w:rFonts w:ascii="Century Gothic" w:hAnsi="Century Gothic" w:cs="Times New Roman"/>
          <w:b/>
          <w:bCs/>
        </w:rPr>
        <w:t>.</w:t>
      </w:r>
    </w:p>
    <w:p w14:paraId="2206800F"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5. Esso disciplina e regola i comportamenti degli operatori economici e di tutti i soggetti impiegati a qualunque titolo dai medesimi operatori nell’ambito delle procedure di gara indette dall’Amministrazione, cui partecipano, e nella fase di esecuzione del contratto eventualmente a loro affidato in esito alle già menzionate procedure di gara. </w:t>
      </w:r>
    </w:p>
    <w:p w14:paraId="6E6B83EE" w14:textId="77777777" w:rsidR="00497138" w:rsidRDefault="00497138" w:rsidP="00497138">
      <w:pPr>
        <w:jc w:val="both"/>
        <w:rPr>
          <w:rFonts w:ascii="Century Gothic" w:hAnsi="Century Gothic" w:cs="Times New Roman"/>
        </w:rPr>
      </w:pPr>
      <w:r w:rsidRPr="007B5416">
        <w:rPr>
          <w:rFonts w:ascii="Century Gothic" w:hAnsi="Century Gothic" w:cs="Times New Roman"/>
          <w:bCs/>
        </w:rPr>
        <w:t>6</w:t>
      </w:r>
      <w:r w:rsidRPr="007B5416">
        <w:rPr>
          <w:rFonts w:ascii="Century Gothic" w:hAnsi="Century Gothic" w:cs="Times New Roman"/>
          <w:b/>
          <w:bCs/>
        </w:rPr>
        <w:t xml:space="preserve">. </w:t>
      </w:r>
      <w:r w:rsidRPr="007B5416">
        <w:rPr>
          <w:rFonts w:ascii="Century Gothic" w:hAnsi="Century Gothic" w:cs="Times New Roman"/>
        </w:rPr>
        <w:t>Il Patto di integrità, altresì, regola i comportamenti di ogni soggetto dell’Amministrazione impiegato – sotto qualunque forma di rapporto contrattuale previsto dalla vigente normativa – nell’ambito delle procedure di gara, nonché nella fase di esecuzione del conseguente contratto. I medesimi soggetti sono, altresì, a conoscenza del contenuto del presente Patto d’Integrità, il cui spirito condividono pienamente, nonché delle sanzioni previste a loro carico in caso di mancato rispetto dello stesso.</w:t>
      </w:r>
    </w:p>
    <w:p w14:paraId="2DB1426A"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7. Il Patto, sottoscritto per accettazione dal legale rappresentante e dall’eventuale Direttore/i Tecnico/i dell’Operatore Economico, deve essere allegato alla documentazione di gara nell’ambito di qualsiasi procedura di affidamento e gestione degli appalti di forniture, servizi e lavori esperita dall’Amministrazione – ivi incluse le ipotesi di affidamento diretto – costituendo, altresì, parte integrante del conseguente contratto. </w:t>
      </w:r>
    </w:p>
    <w:p w14:paraId="044DA737"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Nel caso di Consorzi o Raggruppamenti Temporanei di Imprese, il Patto va sottoscritto dal legale rappresentante del Consorzio nonché di ciascuna delle Imprese consorziate o raggruppate e dagli eventuali Direttori Tecnici. </w:t>
      </w:r>
    </w:p>
    <w:p w14:paraId="3214A021"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Nel caso di ricorso all’avvalimento, il Patto va sottoscritto anche </w:t>
      </w:r>
      <w:r>
        <w:rPr>
          <w:rFonts w:ascii="Century Gothic" w:hAnsi="Century Gothic" w:cs="Times New Roman"/>
        </w:rPr>
        <w:t>dal legale rappresentante dell’</w:t>
      </w:r>
      <w:r w:rsidRPr="007B5416">
        <w:rPr>
          <w:rFonts w:ascii="Century Gothic" w:hAnsi="Century Gothic" w:cs="Times New Roman"/>
        </w:rPr>
        <w:t>ausiliaria e dall’eventuale Direttore Tecnico.</w:t>
      </w:r>
    </w:p>
    <w:p w14:paraId="5C4FDFD6"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Nel caso di subappalto – laddove consentito – il Patto va sottoscritto anche dal legale rappresentante del soggetto affidatario del subappalto medesimo, e dall’eventuale Direttore Tecnico.</w:t>
      </w:r>
    </w:p>
    <w:p w14:paraId="7F4B0A60" w14:textId="77777777" w:rsidR="00497138" w:rsidRDefault="00497138" w:rsidP="00497138">
      <w:pPr>
        <w:jc w:val="both"/>
        <w:rPr>
          <w:rFonts w:ascii="Century Gothic" w:hAnsi="Century Gothic" w:cs="Times New Roman"/>
        </w:rPr>
      </w:pPr>
      <w:r w:rsidRPr="007B5416">
        <w:rPr>
          <w:rFonts w:ascii="Century Gothic" w:hAnsi="Century Gothic" w:cs="Times New Roman"/>
        </w:rPr>
        <w:lastRenderedPageBreak/>
        <w:t xml:space="preserve">8. La presentazione del Patto, sottoscritto per accettazione incondizionata delle relative prescrizioni, costituisce per l’Operatore Economico condizione essenziale per l’ammissione alla procedura di gara, pena l’esclusione dalla medesima. La carenza della dichiarazione di accettazione del Patto di integrità o la mancata produzione dello stesso debitamente sottoscritto dal concorrente, sono regolarizzabili attraverso la procedura di soccorso istruttorio di cui all’art. </w:t>
      </w:r>
      <w:r>
        <w:rPr>
          <w:rFonts w:ascii="Century Gothic" w:hAnsi="Century Gothic" w:cs="Times New Roman"/>
        </w:rPr>
        <w:t>101</w:t>
      </w:r>
      <w:r w:rsidRPr="007B5416">
        <w:rPr>
          <w:rFonts w:ascii="Century Gothic" w:hAnsi="Century Gothic" w:cs="Times New Roman"/>
        </w:rPr>
        <w:t xml:space="preserve"> del Codice dei Contratti</w:t>
      </w:r>
      <w:r>
        <w:rPr>
          <w:rFonts w:ascii="Century Gothic" w:hAnsi="Century Gothic" w:cs="Times New Roman"/>
        </w:rPr>
        <w:t xml:space="preserve"> pubblici</w:t>
      </w:r>
      <w:r w:rsidRPr="007B5416">
        <w:rPr>
          <w:rFonts w:ascii="Century Gothic" w:hAnsi="Century Gothic" w:cs="Times New Roman"/>
        </w:rPr>
        <w:t>.</w:t>
      </w:r>
    </w:p>
    <w:p w14:paraId="7CDA0BD1" w14:textId="77777777" w:rsidR="00497138" w:rsidRDefault="00497138" w:rsidP="00497138">
      <w:pPr>
        <w:jc w:val="center"/>
        <w:rPr>
          <w:rFonts w:ascii="Century Gothic" w:hAnsi="Century Gothic" w:cs="Times New Roman"/>
          <w:b/>
        </w:rPr>
      </w:pPr>
    </w:p>
    <w:p w14:paraId="5404565F"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Articolo 2</w:t>
      </w:r>
    </w:p>
    <w:p w14:paraId="457267AF"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(Obblighi dell’Operatore Economico)</w:t>
      </w:r>
    </w:p>
    <w:p w14:paraId="51007100"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1. L’Operatore Economico conforma la propria condotta ai principi di lealtà, trasparenza e correttezza.</w:t>
      </w:r>
    </w:p>
    <w:p w14:paraId="18FBF155"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2. L’Operatore Economico si obbliga a non offrire somme di denaro, utilità, vantaggi, benefici o qualsiasi altra ricompensa, sia direttamente che indirettamente tramite intermediari, al personale dell’Amministrazione, ovvero a terzi, ai fini dell’aggiudicazione della gara o di distorcerne il corretto svolgimento, nonché ai fini dell’assegnazione del contratto o di distorcerne la corretta e regolare esecuzione.</w:t>
      </w:r>
    </w:p>
    <w:p w14:paraId="146605AD"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3. L’Operatore Economico, salvi ed impregiudicati gli obblighi legali di denuncia alla competente Autorità Giudiziaria, si impegna:</w:t>
      </w:r>
    </w:p>
    <w:p w14:paraId="28F46F61"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a) a segnalare all’Amministrazione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dell’Amministrazione stessa;</w:t>
      </w:r>
    </w:p>
    <w:p w14:paraId="44619230"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b) a segnalare all’Amministrazione qualsiasi illecita richiesta o pretesa da parte di dipendenti dell’Amministrazione stessa o di chiunque possa influenzare le decisioni relative alla procedura di affidamento o all’esecuzione del contratto;</w:t>
      </w:r>
    </w:p>
    <w:p w14:paraId="6E320CE2"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c) qualora i fatti di cui ai precedenti punti a) e b) ne costituiscano il presupposto, a sporgere denuncia alle Autorità competenti e di segnalare il fatto all’ANAC,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112524F4"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d) a non conferire incarichi o stipulare contratti con i soggetti di cui all’art. 53, comma 16-ter, del D. Lgs. n.  165/2001 e </w:t>
      </w:r>
      <w:proofErr w:type="spellStart"/>
      <w:r w:rsidRPr="007B5416">
        <w:rPr>
          <w:rFonts w:ascii="Century Gothic" w:hAnsi="Century Gothic" w:cs="Times New Roman"/>
        </w:rPr>
        <w:t>s.m.i.</w:t>
      </w:r>
      <w:proofErr w:type="spellEnd"/>
    </w:p>
    <w:p w14:paraId="59075904" w14:textId="77777777" w:rsidR="00497138" w:rsidRPr="007B5416" w:rsidRDefault="00497138" w:rsidP="00497138">
      <w:pPr>
        <w:jc w:val="both"/>
        <w:rPr>
          <w:rFonts w:ascii="Century Gothic" w:hAnsi="Century Gothic" w:cs="Times New Roman"/>
        </w:rPr>
      </w:pPr>
      <w:r>
        <w:rPr>
          <w:rFonts w:ascii="Century Gothic" w:hAnsi="Century Gothic" w:cs="Times New Roman"/>
        </w:rPr>
        <w:t>Agli stessi obblighi è tenuto</w:t>
      </w:r>
      <w:r w:rsidRPr="007B5416">
        <w:rPr>
          <w:rFonts w:ascii="Century Gothic" w:hAnsi="Century Gothic" w:cs="Times New Roman"/>
        </w:rPr>
        <w:t xml:space="preserve"> anche </w:t>
      </w:r>
      <w:r>
        <w:rPr>
          <w:rFonts w:ascii="Century Gothic" w:hAnsi="Century Gothic" w:cs="Times New Roman"/>
        </w:rPr>
        <w:t>l’aggiudicatario</w:t>
      </w:r>
      <w:r w:rsidRPr="007B5416">
        <w:rPr>
          <w:rFonts w:ascii="Century Gothic" w:hAnsi="Century Gothic" w:cs="Times New Roman"/>
        </w:rPr>
        <w:t xml:space="preserve"> della gara nella fase dell’esecuzione del contratto, nonché tutti gli eventuali subcontraenti della stessa. A tal fine la clausola che prevede il rispetto degli obblighi di cui al presente Patto di integrità, sarà inserita nei contratti stipulati dall’Operatore economico con i propri subcontraenti.</w:t>
      </w:r>
    </w:p>
    <w:p w14:paraId="09EEC706"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4. Il legale rappresentante dell’Operatore Economico informa prontamente e puntualmente tutto il personale di cui si avvale (dipendenti, consulenti, collaboratori e/o subappaltatori) circa il presente Patto di integrità e gli obblighi in esso contenuti e vigila scrupolosamente sulla loro osservanza.</w:t>
      </w:r>
    </w:p>
    <w:p w14:paraId="2855D91E"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5. Il legale rappresentante dell’Operatore Economico segnala eventuali situazioni di conflitto di interesse, di cui sia a conoscenza, rispetto al personale dell’Amministrazione.</w:t>
      </w:r>
    </w:p>
    <w:p w14:paraId="007726A0"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lastRenderedPageBreak/>
        <w:t>6. Il legale rappresentante dell’Operatore Economico dichiara:</w:t>
      </w:r>
    </w:p>
    <w:p w14:paraId="7611699D"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 di non avere influenzato il procedimento amministrativo diretto a stabilire il contenuto del bando o di altro atto equipollente al fine di condizionare le modalità di scelta del contraente da parte dell’Amministrazione; </w:t>
      </w:r>
    </w:p>
    <w:p w14:paraId="150DB3A9"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di non trovarsi in situazioni di controllo o di collegamento (formale e/o sostanziale) con altri concorrenti, tali da comportare l’imputazione delle relative offerte ad un unico centro decisionale, e che non si è accordato e non si accorderà con altri partecipanti alla gara per limitare o eludere in alcun modo la libera concorrenza;</w:t>
      </w:r>
    </w:p>
    <w:p w14:paraId="49B21091"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di non trovarsi in altre situazioni ritenute incompatibili con la partecipazione alle gare dal Codice dei Contratti</w:t>
      </w:r>
      <w:r>
        <w:rPr>
          <w:rFonts w:ascii="Century Gothic" w:hAnsi="Century Gothic" w:cs="Times New Roman"/>
        </w:rPr>
        <w:t xml:space="preserve"> pubblici</w:t>
      </w:r>
      <w:r w:rsidRPr="007B5416">
        <w:rPr>
          <w:rFonts w:ascii="Century Gothic" w:hAnsi="Century Gothic" w:cs="Times New Roman"/>
        </w:rPr>
        <w:t xml:space="preserve">, dal Codice </w:t>
      </w:r>
      <w:r>
        <w:rPr>
          <w:rFonts w:ascii="Century Gothic" w:hAnsi="Century Gothic" w:cs="Times New Roman"/>
        </w:rPr>
        <w:t>c</w:t>
      </w:r>
      <w:r w:rsidRPr="007B5416">
        <w:rPr>
          <w:rFonts w:ascii="Century Gothic" w:hAnsi="Century Gothic" w:cs="Times New Roman"/>
        </w:rPr>
        <w:t>ivile ovvero dalle altre disposizioni normative vigenti;</w:t>
      </w:r>
    </w:p>
    <w:p w14:paraId="4F327107"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 di non aver conferito incarichi ai soggetti di cui all’art. 53, comma 16-ter, del D. Lgs. n. 165/2001 e </w:t>
      </w:r>
      <w:proofErr w:type="spellStart"/>
      <w:r w:rsidRPr="007B5416">
        <w:rPr>
          <w:rFonts w:ascii="Century Gothic" w:hAnsi="Century Gothic" w:cs="Times New Roman"/>
        </w:rPr>
        <w:t>s.m.i.</w:t>
      </w:r>
      <w:proofErr w:type="spellEnd"/>
      <w:r w:rsidRPr="007B5416">
        <w:rPr>
          <w:rFonts w:ascii="Century Gothic" w:hAnsi="Century Gothic" w:cs="Times New Roman"/>
        </w:rPr>
        <w:t>, o di non aver stipulato contratti con i medesimi soggetti;</w:t>
      </w:r>
    </w:p>
    <w:p w14:paraId="5D26F807"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di essere consapevole che, qualora venga accertata la violazione del suddetto divieto di cui all’art. 53, comma 16-ter, del D. Lgs. n. 165/2001 verrà disposta l’immediata esclusione dalla partecipazione alla procedura d’affidamento;</w:t>
      </w:r>
    </w:p>
    <w:p w14:paraId="3B060041"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di impegnarsi a rendere noti, su richiesta dell’Amministrazione, tutti i pagamenti eseguiti e riguardanti il contratto eventualmente assegnatogli a seguito della procedura di affidamento.</w:t>
      </w:r>
    </w:p>
    <w:p w14:paraId="7044A40A"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Articolo 3</w:t>
      </w:r>
    </w:p>
    <w:p w14:paraId="1455F917"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(Obblighi dell’Amministrazione)</w:t>
      </w:r>
    </w:p>
    <w:p w14:paraId="414198BC"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1. L’Amministrazione conforma la propria condotta ai principi di lealtà, trasparenza e correttezza. </w:t>
      </w:r>
    </w:p>
    <w:p w14:paraId="0C8D32AD"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In particolare,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1FDDCA2D"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2. L’Amministrazione informa il proprio personale e tutti i soggetti in essa operanti, a qualsiasi titolo coinvolti nella procedura di gara sopra indicata e nelle fasi di vigilanza, controllo e gestione dell’esecuzione del relativo contratto qualora assegnato, circa il presente Patto di integrità e gli obblighi in esso contenuti, vigilando sulla loro osservanza.</w:t>
      </w:r>
    </w:p>
    <w:p w14:paraId="1AA1E416"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3. L’Amministrazione attiverà le procedure di legge nei confronti del personale che non conformi il proprio operato ai principi richiamati al comma primo del presente articolo</w:t>
      </w:r>
      <w:r w:rsidRPr="007B5416">
        <w:rPr>
          <w:rFonts w:ascii="Century Gothic" w:hAnsi="Century Gothic" w:cs="Times New Roman"/>
          <w:b/>
          <w:bCs/>
        </w:rPr>
        <w:t xml:space="preserve">, </w:t>
      </w:r>
      <w:r w:rsidRPr="007B5416">
        <w:rPr>
          <w:rFonts w:ascii="Century Gothic" w:hAnsi="Century Gothic" w:cs="Times New Roman"/>
        </w:rPr>
        <w:t>alle disposizioni contenute nel codice di comportamento dei dipendenti pubblici di cui al D.P.R. 16 aprile 2013, n.62, nonché a quelle prescritte nel Codice di comportamento dei dipendenti dell’Amministrazione.</w:t>
      </w:r>
    </w:p>
    <w:p w14:paraId="4FB7DB43"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4. L’Amministrazione aprirà un procedimento istruttorio per la verifica di ogni eventuale segnalazione ricevuta in merito a condotte anomale attuate dal proprio personale in relazione al procedimento di gara ed alle fasi di esecuzione del contratto.</w:t>
      </w:r>
    </w:p>
    <w:p w14:paraId="5B6366D0" w14:textId="77777777" w:rsidR="00497138" w:rsidRDefault="00497138" w:rsidP="00497138">
      <w:pPr>
        <w:jc w:val="both"/>
        <w:rPr>
          <w:rFonts w:ascii="Century Gothic" w:hAnsi="Century Gothic" w:cs="Times New Roman"/>
        </w:rPr>
      </w:pPr>
      <w:r w:rsidRPr="007B5416">
        <w:rPr>
          <w:rFonts w:ascii="Century Gothic" w:hAnsi="Century Gothic" w:cs="Times New Roman"/>
        </w:rPr>
        <w:t>5. L’Amministrazione formalizza l’accertamento delle violazioni del presente Patto di integrità, nel rispetto del principio del contraddittorio.</w:t>
      </w:r>
    </w:p>
    <w:p w14:paraId="0F6C32BA"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Articolo 4</w:t>
      </w:r>
    </w:p>
    <w:p w14:paraId="44E2B208"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 xml:space="preserve">(Violazione degli obblighi assunti con il Patto di integrità) </w:t>
      </w:r>
    </w:p>
    <w:p w14:paraId="47D4BA0B"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lastRenderedPageBreak/>
        <w:t xml:space="preserve">1. La violazione degli obblighi di cui al precedente art. 2 è dichiarata all’esito di un procedimento di verifica nel corso del quale verrà garantito adeguato contraddittorio con l’Operatore economico coinvolto nel procedimento. </w:t>
      </w:r>
    </w:p>
    <w:p w14:paraId="46F2095E"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bCs/>
        </w:rPr>
        <w:t>2</w:t>
      </w:r>
      <w:r w:rsidRPr="007B5416">
        <w:rPr>
          <w:rFonts w:ascii="Century Gothic" w:hAnsi="Century Gothic" w:cs="Times New Roman"/>
          <w:b/>
          <w:bCs/>
        </w:rPr>
        <w:t xml:space="preserve">. </w:t>
      </w:r>
      <w:r w:rsidRPr="007B5416">
        <w:rPr>
          <w:rFonts w:ascii="Century Gothic" w:hAnsi="Century Gothic" w:cs="Times New Roman"/>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4E5E3F07"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esclusione dalla procedura di affidamento ed escussione della cauzione, se la violazione è accertata nella fase precedente all’aggiudicazione dell’appalto;</w:t>
      </w:r>
    </w:p>
    <w:p w14:paraId="10A4CE41"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revoca dell’aggiudicazione ed escussione della cauzione se la violazione è accertata nella fase successiva all’aggiudicazione dell’appalto, ma precedente alla stipula del contratto;</w:t>
      </w:r>
    </w:p>
    <w:p w14:paraId="1D895DDF"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xml:space="preserve">- risoluzione del contratto, ai sensi e per gli effetti dell’art. 1456 del </w:t>
      </w:r>
      <w:r>
        <w:rPr>
          <w:rFonts w:ascii="Century Gothic" w:hAnsi="Century Gothic" w:cs="Times New Roman"/>
        </w:rPr>
        <w:t>C</w:t>
      </w:r>
      <w:r w:rsidRPr="007B5416">
        <w:rPr>
          <w:rFonts w:ascii="Century Gothic" w:hAnsi="Century Gothic" w:cs="Times New Roman"/>
        </w:rPr>
        <w:t>odice civile, ed escussione della cauzione definitiva, se la violazione è accertata nella fase di esecuzione dell’appalto;</w:t>
      </w:r>
    </w:p>
    <w:p w14:paraId="39E2E7B7"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 segnalazione del fatto all’ANAC ed alle competenti Autorità.</w:t>
      </w:r>
    </w:p>
    <w:p w14:paraId="50E017B1"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3. 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3FF9D4B1" w14:textId="77777777" w:rsidR="00497138" w:rsidRDefault="00497138" w:rsidP="00497138">
      <w:pPr>
        <w:jc w:val="both"/>
        <w:rPr>
          <w:rFonts w:ascii="Century Gothic" w:hAnsi="Century Gothic" w:cs="Times New Roman"/>
        </w:rPr>
      </w:pPr>
      <w:r w:rsidRPr="007B5416">
        <w:rPr>
          <w:rFonts w:ascii="Century Gothic" w:hAnsi="Century Gothic" w:cs="Times New Roman"/>
        </w:rPr>
        <w:t xml:space="preserve">4. In ogni caso, l’accertamento di una violazione degli obblighi assunti con il presente Patto di Integrità costituisce legittima causa di esclusione </w:t>
      </w:r>
      <w:r>
        <w:rPr>
          <w:rFonts w:ascii="Century Gothic" w:hAnsi="Century Gothic" w:cs="Times New Roman"/>
        </w:rPr>
        <w:t xml:space="preserve">dell’Operatore Economico </w:t>
      </w:r>
      <w:r w:rsidRPr="007B5416">
        <w:rPr>
          <w:rFonts w:ascii="Century Gothic" w:hAnsi="Century Gothic" w:cs="Times New Roman"/>
        </w:rPr>
        <w:t>dalla partecipazione alle procedure di affidamento degli appalti di lavori, forniture e servizi bandite dall’Amministrazione per il successivo anno.</w:t>
      </w:r>
    </w:p>
    <w:p w14:paraId="6E6159A6"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Articolo 5</w:t>
      </w:r>
    </w:p>
    <w:p w14:paraId="27B91CDB"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(Efficacia del patto di integrità)</w:t>
      </w:r>
    </w:p>
    <w:p w14:paraId="0394D89A" w14:textId="77777777" w:rsidR="00497138" w:rsidRDefault="00497138" w:rsidP="00497138">
      <w:pPr>
        <w:jc w:val="both"/>
        <w:rPr>
          <w:rFonts w:ascii="Century Gothic" w:hAnsi="Century Gothic" w:cs="Times New Roman"/>
        </w:rPr>
      </w:pPr>
      <w:r w:rsidRPr="007B5416">
        <w:rPr>
          <w:rFonts w:ascii="Century Gothic" w:hAnsi="Century Gothic" w:cs="Times New Roman"/>
        </w:rPr>
        <w:t>Il presente Patto di integrità e le relative sanzioni si applicano dall’avvio della procedura di affidamento sino alla completa esecuzione del contratto assegnato a seguito della procedura medesima.</w:t>
      </w:r>
    </w:p>
    <w:p w14:paraId="004633A9"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Articolo 6</w:t>
      </w:r>
    </w:p>
    <w:p w14:paraId="20389836" w14:textId="77777777" w:rsidR="00497138" w:rsidRPr="007B5416" w:rsidRDefault="00497138" w:rsidP="00497138">
      <w:pPr>
        <w:jc w:val="center"/>
        <w:rPr>
          <w:rFonts w:ascii="Century Gothic" w:hAnsi="Century Gothic" w:cs="Times New Roman"/>
          <w:b/>
        </w:rPr>
      </w:pPr>
      <w:r w:rsidRPr="007B5416">
        <w:rPr>
          <w:rFonts w:ascii="Century Gothic" w:hAnsi="Century Gothic" w:cs="Times New Roman"/>
          <w:b/>
        </w:rPr>
        <w:t>(Controversie)</w:t>
      </w:r>
    </w:p>
    <w:p w14:paraId="363423D7"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Ogni controversia relativa all’interpretazione ed alla esecuzione del presente Patto di Integrità fra l’Amministrazione e gli Operatori Economici, ovvero tra gli stessi Operatori Economici sarà risolta</w:t>
      </w:r>
      <w:r>
        <w:rPr>
          <w:rFonts w:ascii="Century Gothic" w:hAnsi="Century Gothic" w:cs="Times New Roman"/>
        </w:rPr>
        <w:t>,</w:t>
      </w:r>
      <w:r w:rsidRPr="007B5416">
        <w:rPr>
          <w:rFonts w:ascii="Century Gothic" w:hAnsi="Century Gothic" w:cs="Times New Roman"/>
        </w:rPr>
        <w:t xml:space="preserve"> </w:t>
      </w:r>
      <w:r>
        <w:rPr>
          <w:rFonts w:ascii="Century Gothic" w:hAnsi="Century Gothic" w:cs="Times New Roman"/>
        </w:rPr>
        <w:t xml:space="preserve">in via esclusiva, </w:t>
      </w:r>
      <w:r w:rsidRPr="007B5416">
        <w:rPr>
          <w:rFonts w:ascii="Century Gothic" w:hAnsi="Century Gothic" w:cs="Times New Roman"/>
        </w:rPr>
        <w:t>dal Foro di Roma.</w:t>
      </w:r>
    </w:p>
    <w:p w14:paraId="094FB744" w14:textId="77777777" w:rsidR="00497138" w:rsidRPr="007B5416" w:rsidRDefault="00497138" w:rsidP="00497138">
      <w:pPr>
        <w:jc w:val="both"/>
        <w:rPr>
          <w:rFonts w:ascii="Century Gothic" w:hAnsi="Century Gothic" w:cs="Times New Roman"/>
        </w:rPr>
      </w:pPr>
      <w:r w:rsidRPr="007B5416">
        <w:rPr>
          <w:rFonts w:ascii="Century Gothic" w:hAnsi="Century Gothic" w:cs="Times New Roman"/>
        </w:rPr>
        <w:t>Data,</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843"/>
        <w:gridCol w:w="3821"/>
      </w:tblGrid>
      <w:tr w:rsidR="00497138" w14:paraId="7F4A2F2E" w14:textId="77777777" w:rsidTr="00F70D70">
        <w:tc>
          <w:tcPr>
            <w:tcW w:w="3964" w:type="dxa"/>
          </w:tcPr>
          <w:p w14:paraId="52365C1B" w14:textId="77777777" w:rsidR="00497138" w:rsidRDefault="00497138" w:rsidP="00F70D70">
            <w:pPr>
              <w:jc w:val="center"/>
              <w:rPr>
                <w:rFonts w:ascii="Century Gothic" w:hAnsi="Century Gothic" w:cs="Times New Roman"/>
              </w:rPr>
            </w:pPr>
            <w:r>
              <w:rPr>
                <w:rFonts w:ascii="Century Gothic" w:hAnsi="Century Gothic" w:cs="Times New Roman"/>
              </w:rPr>
              <w:t>L’Amministrazione</w:t>
            </w:r>
          </w:p>
        </w:tc>
        <w:tc>
          <w:tcPr>
            <w:tcW w:w="1843" w:type="dxa"/>
          </w:tcPr>
          <w:p w14:paraId="0A785EB0" w14:textId="77777777" w:rsidR="00497138" w:rsidRDefault="00497138" w:rsidP="00F70D70">
            <w:pPr>
              <w:jc w:val="center"/>
              <w:rPr>
                <w:rFonts w:ascii="Century Gothic" w:hAnsi="Century Gothic" w:cs="Times New Roman"/>
              </w:rPr>
            </w:pPr>
          </w:p>
        </w:tc>
        <w:tc>
          <w:tcPr>
            <w:tcW w:w="3821" w:type="dxa"/>
          </w:tcPr>
          <w:p w14:paraId="46D54879" w14:textId="77777777" w:rsidR="00497138" w:rsidRDefault="00497138" w:rsidP="00F70D70">
            <w:pPr>
              <w:jc w:val="center"/>
              <w:rPr>
                <w:rFonts w:ascii="Century Gothic" w:hAnsi="Century Gothic" w:cs="Times New Roman"/>
              </w:rPr>
            </w:pPr>
            <w:r>
              <w:rPr>
                <w:rFonts w:ascii="Century Gothic" w:hAnsi="Century Gothic"/>
              </w:rPr>
              <w:t>L’</w:t>
            </w:r>
            <w:r w:rsidRPr="00A34D3E">
              <w:rPr>
                <w:rFonts w:ascii="Century Gothic" w:hAnsi="Century Gothic"/>
              </w:rPr>
              <w:t>Operatore Economico</w:t>
            </w:r>
          </w:p>
        </w:tc>
      </w:tr>
      <w:tr w:rsidR="00497138" w14:paraId="2BCF501D" w14:textId="77777777" w:rsidTr="00F70D70">
        <w:tc>
          <w:tcPr>
            <w:tcW w:w="3964" w:type="dxa"/>
          </w:tcPr>
          <w:p w14:paraId="5C01071F" w14:textId="77777777" w:rsidR="00497138" w:rsidRDefault="00497138" w:rsidP="00F70D70">
            <w:pPr>
              <w:jc w:val="both"/>
              <w:rPr>
                <w:rFonts w:ascii="Century Gothic" w:hAnsi="Century Gothic" w:cs="Times New Roman"/>
              </w:rPr>
            </w:pPr>
          </w:p>
        </w:tc>
        <w:tc>
          <w:tcPr>
            <w:tcW w:w="1843" w:type="dxa"/>
          </w:tcPr>
          <w:p w14:paraId="2E7B2394" w14:textId="77777777" w:rsidR="00497138" w:rsidRDefault="00497138" w:rsidP="00F70D70">
            <w:pPr>
              <w:jc w:val="both"/>
              <w:rPr>
                <w:rFonts w:ascii="Century Gothic" w:hAnsi="Century Gothic" w:cs="Times New Roman"/>
              </w:rPr>
            </w:pPr>
          </w:p>
        </w:tc>
        <w:tc>
          <w:tcPr>
            <w:tcW w:w="3821" w:type="dxa"/>
          </w:tcPr>
          <w:p w14:paraId="4510AD25" w14:textId="77777777" w:rsidR="00497138" w:rsidRDefault="00497138" w:rsidP="00F70D70">
            <w:pPr>
              <w:jc w:val="both"/>
              <w:rPr>
                <w:rFonts w:ascii="Century Gothic" w:hAnsi="Century Gothic" w:cs="Times New Roman"/>
              </w:rPr>
            </w:pPr>
          </w:p>
        </w:tc>
      </w:tr>
      <w:tr w:rsidR="00497138" w14:paraId="1D1D594D" w14:textId="77777777" w:rsidTr="00F70D70">
        <w:tc>
          <w:tcPr>
            <w:tcW w:w="3964" w:type="dxa"/>
          </w:tcPr>
          <w:p w14:paraId="4B41430C" w14:textId="77777777" w:rsidR="00497138" w:rsidRDefault="00497138" w:rsidP="00F70D70">
            <w:pPr>
              <w:jc w:val="center"/>
              <w:rPr>
                <w:rFonts w:ascii="Century Gothic" w:hAnsi="Century Gothic" w:cs="Times New Roman"/>
              </w:rPr>
            </w:pPr>
            <w:r>
              <w:rPr>
                <w:rFonts w:ascii="Century Gothic" w:hAnsi="Century Gothic" w:cs="Times New Roman"/>
              </w:rPr>
              <w:t>Il Direttore</w:t>
            </w:r>
          </w:p>
        </w:tc>
        <w:tc>
          <w:tcPr>
            <w:tcW w:w="1843" w:type="dxa"/>
          </w:tcPr>
          <w:p w14:paraId="21B60D63" w14:textId="77777777" w:rsidR="00497138" w:rsidRDefault="00497138" w:rsidP="00F70D70">
            <w:pPr>
              <w:jc w:val="center"/>
              <w:rPr>
                <w:rFonts w:ascii="Century Gothic" w:hAnsi="Century Gothic" w:cs="Times New Roman"/>
              </w:rPr>
            </w:pPr>
          </w:p>
        </w:tc>
        <w:tc>
          <w:tcPr>
            <w:tcW w:w="3821" w:type="dxa"/>
          </w:tcPr>
          <w:p w14:paraId="602C4343" w14:textId="77777777" w:rsidR="00497138" w:rsidRDefault="00497138" w:rsidP="00F70D70">
            <w:pPr>
              <w:jc w:val="center"/>
              <w:rPr>
                <w:rFonts w:ascii="Century Gothic" w:hAnsi="Century Gothic" w:cs="Times New Roman"/>
              </w:rPr>
            </w:pPr>
            <w:r>
              <w:rPr>
                <w:rFonts w:ascii="Century Gothic" w:hAnsi="Century Gothic" w:cs="Times New Roman"/>
              </w:rPr>
              <w:t>Il Titolare/Legale rappresentante</w:t>
            </w:r>
          </w:p>
        </w:tc>
      </w:tr>
    </w:tbl>
    <w:p w14:paraId="09F7B166" w14:textId="77777777" w:rsidR="00497138" w:rsidRPr="007B5416" w:rsidRDefault="00497138" w:rsidP="00497138">
      <w:pPr>
        <w:ind w:left="708" w:firstLine="708"/>
        <w:jc w:val="both"/>
        <w:rPr>
          <w:rFonts w:ascii="Century Gothic" w:hAnsi="Century Gothic" w:cs="Times New Roman"/>
        </w:rPr>
      </w:pPr>
    </w:p>
    <w:p w14:paraId="524B16E1" w14:textId="77777777" w:rsidR="00497138" w:rsidRPr="00B955EF" w:rsidRDefault="00497138" w:rsidP="00B955EF"/>
    <w:sectPr w:rsidR="00497138"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0"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1"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2"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3"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6"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8"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0"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2"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6"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7"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8"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0"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1"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1589655010">
    <w:abstractNumId w:val="8"/>
  </w:num>
  <w:num w:numId="2" w16cid:durableId="798568517">
    <w:abstractNumId w:val="2"/>
  </w:num>
  <w:num w:numId="3" w16cid:durableId="698049660">
    <w:abstractNumId w:val="15"/>
    <w:lvlOverride w:ilvl="0">
      <w:startOverride w:val="1"/>
    </w:lvlOverride>
  </w:num>
  <w:num w:numId="4" w16cid:durableId="840268706">
    <w:abstractNumId w:val="24"/>
  </w:num>
  <w:num w:numId="5" w16cid:durableId="218131658">
    <w:abstractNumId w:val="0"/>
  </w:num>
  <w:num w:numId="6" w16cid:durableId="437024679">
    <w:abstractNumId w:val="11"/>
  </w:num>
  <w:num w:numId="7" w16cid:durableId="1010452085">
    <w:abstractNumId w:val="18"/>
  </w:num>
  <w:num w:numId="8" w16cid:durableId="1079400326">
    <w:abstractNumId w:val="31"/>
  </w:num>
  <w:num w:numId="9" w16cid:durableId="2123498447">
    <w:abstractNumId w:val="6"/>
  </w:num>
  <w:num w:numId="10" w16cid:durableId="673916229">
    <w:abstractNumId w:val="23"/>
  </w:num>
  <w:num w:numId="11" w16cid:durableId="217206469">
    <w:abstractNumId w:val="19"/>
  </w:num>
  <w:num w:numId="12" w16cid:durableId="1011032130">
    <w:abstractNumId w:val="1"/>
  </w:num>
  <w:num w:numId="13" w16cid:durableId="831944334">
    <w:abstractNumId w:val="26"/>
  </w:num>
  <w:num w:numId="14" w16cid:durableId="603926739">
    <w:abstractNumId w:val="12"/>
  </w:num>
  <w:num w:numId="15" w16cid:durableId="936673108">
    <w:abstractNumId w:val="10"/>
  </w:num>
  <w:num w:numId="16" w16cid:durableId="1003122246">
    <w:abstractNumId w:val="17"/>
  </w:num>
  <w:num w:numId="17" w16cid:durableId="1919710587">
    <w:abstractNumId w:val="13"/>
  </w:num>
  <w:num w:numId="18" w16cid:durableId="2091853586">
    <w:abstractNumId w:val="22"/>
  </w:num>
  <w:num w:numId="19" w16cid:durableId="40831316">
    <w:abstractNumId w:val="4"/>
  </w:num>
  <w:num w:numId="20" w16cid:durableId="1593664237">
    <w:abstractNumId w:val="9"/>
  </w:num>
  <w:num w:numId="21" w16cid:durableId="58553192">
    <w:abstractNumId w:val="3"/>
  </w:num>
  <w:num w:numId="22" w16cid:durableId="553583822">
    <w:abstractNumId w:val="25"/>
  </w:num>
  <w:num w:numId="23" w16cid:durableId="1509372663">
    <w:abstractNumId w:val="30"/>
  </w:num>
  <w:num w:numId="24" w16cid:durableId="1988390349">
    <w:abstractNumId w:val="7"/>
  </w:num>
  <w:num w:numId="25" w16cid:durableId="129840987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90531558">
    <w:abstractNumId w:val="14"/>
  </w:num>
  <w:num w:numId="27" w16cid:durableId="89778687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575238756">
    <w:abstractNumId w:val="5"/>
  </w:num>
  <w:num w:numId="29" w16cid:durableId="204852828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607396289">
    <w:abstractNumId w:val="29"/>
  </w:num>
  <w:num w:numId="31" w16cid:durableId="1908958609">
    <w:abstractNumId w:val="28"/>
    <w:lvlOverride w:ilvl="0">
      <w:startOverride w:val="1"/>
    </w:lvlOverride>
  </w:num>
  <w:num w:numId="32" w16cid:durableId="649671528">
    <w:abstractNumId w:val="28"/>
  </w:num>
  <w:num w:numId="33" w16cid:durableId="1400518860">
    <w:abstractNumId w:val="27"/>
  </w:num>
  <w:num w:numId="34" w16cid:durableId="159423848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962D4"/>
    <w:rsid w:val="002B38E5"/>
    <w:rsid w:val="0038640F"/>
    <w:rsid w:val="003B06BE"/>
    <w:rsid w:val="003C5174"/>
    <w:rsid w:val="00421F65"/>
    <w:rsid w:val="004930B8"/>
    <w:rsid w:val="00497138"/>
    <w:rsid w:val="004A0DDA"/>
    <w:rsid w:val="004C56A6"/>
    <w:rsid w:val="00501370"/>
    <w:rsid w:val="00512972"/>
    <w:rsid w:val="005279DE"/>
    <w:rsid w:val="005B67BE"/>
    <w:rsid w:val="00615898"/>
    <w:rsid w:val="0066497F"/>
    <w:rsid w:val="00682412"/>
    <w:rsid w:val="00694A66"/>
    <w:rsid w:val="006C7E87"/>
    <w:rsid w:val="006E3158"/>
    <w:rsid w:val="0075264C"/>
    <w:rsid w:val="008069BE"/>
    <w:rsid w:val="008A48DA"/>
    <w:rsid w:val="008B20AA"/>
    <w:rsid w:val="008B7A5E"/>
    <w:rsid w:val="008E2C49"/>
    <w:rsid w:val="008F64C1"/>
    <w:rsid w:val="009E0093"/>
    <w:rsid w:val="009F2615"/>
    <w:rsid w:val="00AA1B90"/>
    <w:rsid w:val="00AA3FA9"/>
    <w:rsid w:val="00AC554D"/>
    <w:rsid w:val="00B9480E"/>
    <w:rsid w:val="00B955EF"/>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3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semiHidden/>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semiHidden/>
    <w:rsid w:val="0066497F"/>
    <w:rPr>
      <w:rFonts w:ascii="Times New Roman" w:eastAsia="Times New Roman" w:hAnsi="Times New Roman" w:cs="Times New Roman"/>
      <w:sz w:val="20"/>
      <w:szCs w:val="20"/>
    </w:rPr>
  </w:style>
  <w:style w:type="character" w:styleId="Rimandonotaapidipagina">
    <w:name w:val="footnote reference"/>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4.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2142</Words>
  <Characters>12216</Characters>
  <Application>Microsoft Office Word</Application>
  <DocSecurity>0</DocSecurity>
  <Lines>101</Lines>
  <Paragraphs>28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