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B034A" w14:textId="77777777" w:rsidR="003427C1" w:rsidRPr="006716F2" w:rsidRDefault="003427C1" w:rsidP="003427C1">
      <w:pPr>
        <w:pStyle w:val="Titolo2"/>
        <w:rPr>
          <w:rFonts w:cstheme="minorHAnsi"/>
          <w:b/>
          <w:bCs/>
          <w:color w:val="548DD4" w:themeColor="text2" w:themeTint="99"/>
          <w:szCs w:val="22"/>
          <w:lang w:val="it-IT"/>
        </w:rPr>
      </w:pPr>
      <w:bookmarkStart w:id="0" w:name="_Toc150783543"/>
      <w:r w:rsidRPr="006716F2">
        <w:rPr>
          <w:lang w:val="it-IT"/>
        </w:rPr>
        <w:t>Allegato 12 Schema di Accordo di partenariato</w:t>
      </w:r>
      <w:bookmarkEnd w:id="0"/>
    </w:p>
    <w:p w14:paraId="3E99D286" w14:textId="77777777" w:rsidR="003427C1" w:rsidRPr="00135C00" w:rsidRDefault="003427C1" w:rsidP="003427C1">
      <w:pPr>
        <w:pStyle w:val="Corpotesto"/>
        <w:spacing w:after="120"/>
        <w:rPr>
          <w:rFonts w:eastAsia="Bliss Pro ExtraLight" w:cstheme="minorHAnsi"/>
          <w:b/>
          <w:i/>
          <w:sz w:val="22"/>
          <w:szCs w:val="22"/>
        </w:rPr>
      </w:pPr>
      <w:r w:rsidRPr="00135C00">
        <w:rPr>
          <w:rFonts w:eastAsia="Bliss Pro ExtraLight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2E2E31B4" w14:textId="77777777" w:rsidR="003427C1" w:rsidRDefault="003427C1" w:rsidP="003427C1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59225" w14:textId="77777777" w:rsidR="003427C1" w:rsidRPr="00591567" w:rsidRDefault="003427C1" w:rsidP="003427C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hAnsiTheme="minorHAnsi" w:cstheme="minorHAnsi"/>
          <w:b/>
          <w:sz w:val="22"/>
          <w:szCs w:val="22"/>
        </w:rPr>
        <w:t>ACCORDO DI PARTENARIATO</w:t>
      </w:r>
    </w:p>
    <w:p w14:paraId="4B34616B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8A26C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</w:t>
      </w:r>
    </w:p>
    <w:p w14:paraId="55FD8EA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B55B27E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 (ragione sociale o denominazione dell’ente)</w:t>
      </w:r>
    </w:p>
    <w:p w14:paraId="21AD7D38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in___________________________________________________________</w:t>
      </w:r>
    </w:p>
    <w:p w14:paraId="17A9811F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5CCB497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DCD635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in qualità di Partner Capofila del Partenariato</w:t>
      </w:r>
    </w:p>
    <w:p w14:paraId="4B681083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24E559E" w14:textId="77777777" w:rsidR="003427C1" w:rsidRPr="00591567" w:rsidRDefault="003427C1" w:rsidP="003427C1">
      <w:pPr>
        <w:spacing w:after="120"/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E in qualità di Partner del Partenariato</w:t>
      </w:r>
    </w:p>
    <w:p w14:paraId="42377B0B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____________ (ragione sociale o denominazione dell’ente)</w:t>
      </w:r>
    </w:p>
    <w:p w14:paraId="65783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50DD0011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49586378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EECB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3B2F89BC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29C3B2C9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3AE996B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6C4073E3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7FAAB962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396D06C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di seguito anche congiuntamente denominati “le Parti”, per la presentazione e la realizzazione del Progetto di R&amp;S denominato_____________________ a valere sul “Bando a cascata” pubblicato dallo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</w:t>
      </w:r>
      <w:r>
        <w:rPr>
          <w:rFonts w:asciiTheme="minorHAnsi" w:eastAsia="Helvetica Neue" w:hAnsiTheme="minorHAnsi" w:cstheme="minorHAnsi"/>
          <w:sz w:val="22"/>
          <w:szCs w:val="22"/>
        </w:rPr>
        <w:t>12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con Provvedimen</w:t>
      </w:r>
      <w:r>
        <w:rPr>
          <w:rFonts w:asciiTheme="minorHAnsi" w:eastAsia="Helvetica Neue" w:hAnsiTheme="minorHAnsi" w:cstheme="minorHAnsi"/>
          <w:sz w:val="22"/>
          <w:szCs w:val="22"/>
        </w:rPr>
        <w:t>to del Direttore del CNR-STEMS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n.</w:t>
      </w:r>
      <w:r>
        <w:rPr>
          <w:rFonts w:asciiTheme="minorHAnsi" w:eastAsia="Helvetica Neue" w:hAnsiTheme="minorHAnsi" w:cstheme="minorHAnsi"/>
          <w:sz w:val="22"/>
          <w:szCs w:val="22"/>
        </w:rPr>
        <w:t xml:space="preserve"> _______ 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>in data</w:t>
      </w:r>
      <w:r>
        <w:rPr>
          <w:rFonts w:asciiTheme="minorHAnsi" w:eastAsia="Helvetica Neue" w:hAnsiTheme="minorHAnsi" w:cstheme="minorHAnsi"/>
          <w:i/>
          <w:sz w:val="22"/>
          <w:szCs w:val="22"/>
        </w:rPr>
        <w:t xml:space="preserve"> _________</w:t>
      </w:r>
    </w:p>
    <w:p w14:paraId="5BC6A7C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6F1EA639" w14:textId="77777777" w:rsidR="003427C1" w:rsidRPr="00591567" w:rsidRDefault="003427C1" w:rsidP="003427C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PREMESSO CHE</w:t>
      </w:r>
    </w:p>
    <w:p w14:paraId="05DBD65E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Il Ministero dell’Università e Ricerca (MUR) ha approvato il progetto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Sustainable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Mobility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Center” (Centro Nazionale per la Mobilità Sostenibile – CNMS)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CN00000023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decreto di concessione del finanziamento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lastRenderedPageBreak/>
        <w:t>n. 1033 del 17/06/2022 nell’ambito degli investimenti previsti dal Piano Nazionale di Ripresa e Resilienza (PNRR);</w:t>
      </w:r>
    </w:p>
    <w:p w14:paraId="5DBB78C9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Lo </w:t>
      </w:r>
      <w:proofErr w:type="spellStart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12 - Consiglio Nazionale delle Ricerche -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(di seguito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”) ha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emanato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provvedimento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n._________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il Bando a cascata a favore 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>delle imprese s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ul tema</w:t>
      </w:r>
      <w:r w:rsidRPr="00591567">
        <w:rPr>
          <w:rFonts w:asciiTheme="minorHAnsi" w:hAnsiTheme="minorHAnsi" w:cstheme="minorHAnsi"/>
          <w:sz w:val="22"/>
          <w:szCs w:val="22"/>
        </w:rPr>
        <w:t xml:space="preserve"> “</w:t>
      </w:r>
      <w:proofErr w:type="spellStart"/>
      <w:r>
        <w:rPr>
          <w:rFonts w:asciiTheme="minorHAnsi" w:hAnsiTheme="minorHAnsi" w:cstheme="minorHAnsi"/>
          <w:sz w:val="22"/>
          <w:szCs w:val="22"/>
        </w:rPr>
        <w:t>Sustainable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Propulsion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”;</w:t>
      </w:r>
    </w:p>
    <w:p w14:paraId="7C15B066" w14:textId="77777777" w:rsidR="003427C1" w:rsidRPr="009D2A3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riportato nella Sez. 3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possono presentare domanda Partenariati formalizzati mediante specifico Accordo di partenariato e compo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sti da un massimo di </w:t>
      </w:r>
      <w:r w:rsidRPr="009D2A37"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>4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r w:rsidRPr="009D2A37">
        <w:rPr>
          <w:rFonts w:asciiTheme="minorHAnsi" w:eastAsia="Helvetica Neue" w:hAnsiTheme="minorHAnsi" w:cstheme="minorHAnsi"/>
          <w:b/>
          <w:color w:val="000000"/>
          <w:sz w:val="22"/>
          <w:szCs w:val="22"/>
        </w:rPr>
        <w:t>soggetti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>, autonomi tra loro;</w:t>
      </w:r>
    </w:p>
    <w:p w14:paraId="671D4325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di quanto riportato nella Sez.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3.1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l’Accordo di partenariato deve necessariamente prevedere:</w:t>
      </w:r>
    </w:p>
    <w:p w14:paraId="68A5D9A6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di uno dei partner con il ruolo di Capofila;  </w:t>
      </w:r>
    </w:p>
    <w:p w14:paraId="3D9BB522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la responsabilità solidale di tutti i partner nei confronti dello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per quanto riguarda l’esecuzione del progetto per tutta la durata del contratto d’obbligo sottoscritto;  </w:t>
      </w:r>
    </w:p>
    <w:p w14:paraId="1980AE8C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del ruolo di ciascun partner nella realizzazione del progetto.</w:t>
      </w:r>
    </w:p>
    <w:p w14:paraId="78B4F87D" w14:textId="77777777" w:rsidR="003427C1" w:rsidRPr="00147DAC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l’accordo sui diritti di proprietà intellettuale e diffusione dei risultati</w:t>
      </w:r>
    </w:p>
    <w:p w14:paraId="51ADC620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descritto nelle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Sez.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3.1 e 5.3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Bando, i partenariati devono comportare la collaborazione effettiva tra i Partner per la realizzazione delle attività del Progetto di R&amp;S e non possono subire variazioni di alcun tipo tra la data di presentazione della domanda di finanziamento e la data di concessione del contributo, </w:t>
      </w:r>
    </w:p>
    <w:p w14:paraId="12969710" w14:textId="77777777" w:rsidR="003427C1" w:rsidRPr="00591567" w:rsidRDefault="003427C1" w:rsidP="003427C1">
      <w:pPr>
        <w:ind w:right="-1"/>
        <w:jc w:val="center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</w:t>
      </w:r>
      <w:r>
        <w:rPr>
          <w:rFonts w:asciiTheme="minorHAnsi" w:eastAsia="Helvetica Neue" w:hAnsiTheme="minorHAnsi" w:cstheme="minorHAnsi"/>
          <w:b/>
          <w:sz w:val="22"/>
          <w:szCs w:val="22"/>
        </w:rPr>
        <w:t>UTTO CIÒ PREMESSO E CONSIDERATO</w:t>
      </w:r>
    </w:p>
    <w:p w14:paraId="362E07B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1EEA0B10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 le Parti si sottoscrive il seguente</w:t>
      </w:r>
      <w:r w:rsidRPr="005915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ACCORDO DI PARTENARIATO</w:t>
      </w:r>
    </w:p>
    <w:p w14:paraId="13B71EA9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31FF58F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1 – Oggetto ed impegni delle Parti</w:t>
      </w:r>
    </w:p>
    <w:p w14:paraId="2C1C69AF" w14:textId="77777777" w:rsidR="003427C1" w:rsidRPr="001414AD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Con il presente Accordo le Parti intendono formalizzare la propria associazione ai fini della partecipazione al Bando e disciplinare gli impegni reciproci.</w:t>
      </w:r>
    </w:p>
    <w:p w14:paraId="590F266E" w14:textId="77777777" w:rsidR="003427C1" w:rsidRPr="006716F2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In particolare, le Parti si impegnano a:</w:t>
      </w:r>
    </w:p>
    <w:p w14:paraId="35422B38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leggere, elaborare, validare e approvare il Progetto di R&amp;S;</w:t>
      </w:r>
    </w:p>
    <w:p w14:paraId="4680D457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realizzare le attività di propria competenza previste all'interno del Progetto di R&amp;S, nel rispetto dei criteri e delle modalità definiti dal presente Accordo di Partenariato e dal Bando, così come dettagliate nella domanda di partecipazione al Bando;</w:t>
      </w:r>
    </w:p>
    <w:p w14:paraId="575EF501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 un utilizzo del contributo a fondo perduto coerente con le normative vigenti in tema di agevolazioni pubbliche;</w:t>
      </w:r>
    </w:p>
    <w:p w14:paraId="70EA1AAD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garantire che il Progetto di R&amp;S non sia stato già presentato e ammesso a finanziamento nell’ambito di altre leggi di agevolazione pubblica alla ricerca ed allo sviluppo, qualificabili come aiuti di Stato ai sensi degli articoli 107 e 108 del TFUE ovvero nell’ambito di altri programmi finanziati dall’Unione Europea;</w:t>
      </w:r>
    </w:p>
    <w:p w14:paraId="600E4D97" w14:textId="77777777" w:rsidR="003427C1" w:rsidRPr="000127BA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assicurare, ciascuno per la parte di propria competenza, la copertura finanziaria delle spese ammissibili non coperte dal contributo a fondo perduto di cui al presente Bando e la sottoscrizione degli impegni finanziari previsti dal Contratto d’obbligo.</w:t>
      </w:r>
    </w:p>
    <w:p w14:paraId="1FC385AE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2 - Partner Capofila</w:t>
      </w:r>
    </w:p>
    <w:p w14:paraId="2AEC264D" w14:textId="77777777" w:rsidR="003427C1" w:rsidRPr="006716F2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lastRenderedPageBreak/>
        <w:t xml:space="preserve">Il Partner Capofila è responsabile dell’attività di coordinamento amministrativo nei confronti dello </w:t>
      </w:r>
      <w:proofErr w:type="spellStart"/>
      <w:r w:rsidRPr="006716F2">
        <w:rPr>
          <w:rFonts w:eastAsia="Helvetica Neue" w:cstheme="minorHAnsi"/>
          <w:lang w:val="it-IT"/>
        </w:rPr>
        <w:t>Spoke</w:t>
      </w:r>
      <w:proofErr w:type="spellEnd"/>
      <w:r>
        <w:rPr>
          <w:rFonts w:eastAsia="Helvetica Neue" w:cstheme="minorHAnsi"/>
          <w:lang w:val="it-IT"/>
        </w:rPr>
        <w:t>;</w:t>
      </w:r>
    </w:p>
    <w:p w14:paraId="40861364" w14:textId="77777777" w:rsidR="003427C1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2A2BEBD" w14:textId="77777777" w:rsidR="003427C1" w:rsidRPr="006F0333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F0333">
        <w:rPr>
          <w:rFonts w:eastAsia="Helvetica Neue" w:cstheme="minorHAnsi"/>
          <w:lang w:val="it-IT"/>
        </w:rPr>
        <w:t>In particolare, il Partner Capofila è tenuto a:</w:t>
      </w:r>
    </w:p>
    <w:p w14:paraId="687C4993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compilare la domanda di partecipazione e inviarla per conto di tutto il Partenariato;</w:t>
      </w:r>
    </w:p>
    <w:p w14:paraId="031F826B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coordinare la predisposizione di tutta la documentazione richiesta dal Bando e dagli atti ad essa conseguenti e curare la trasmissione della stessa;</w:t>
      </w:r>
    </w:p>
    <w:p w14:paraId="6ADAF99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le attività di rendicontazione in capo a ciascun Partner e curarne la trasmissione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6DA5207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i flussi informativi verso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72DA8E0D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4588846E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e gestire l’invio di eventuali istanze da parte dei componenti del partenariato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(ad es: richiesta di proroga, quesiti o richieste di chiarimento). </w:t>
      </w:r>
    </w:p>
    <w:p w14:paraId="214D459B" w14:textId="77777777" w:rsidR="003427C1" w:rsidRPr="00107E24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Sottoscrivere il contratto d’obbligo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in nome e per conto anche delle altre Parti.</w:t>
      </w:r>
    </w:p>
    <w:p w14:paraId="2C741663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3 – Ruolo ed impegni dei Partner</w:t>
      </w:r>
    </w:p>
    <w:p w14:paraId="7C8BADF3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t>Ciascun Partner è responsabile della realizzazione delle attività di Progetto di R&amp;S di propria competenza che saranno dettagliate nella domanda di partecipazione al Bando.</w:t>
      </w:r>
    </w:p>
    <w:p w14:paraId="159D4941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</w:rPr>
      </w:pPr>
      <w:proofErr w:type="spellStart"/>
      <w:r w:rsidRPr="006716F2">
        <w:rPr>
          <w:rFonts w:eastAsia="Helvetica Neue" w:cstheme="minorHAnsi"/>
        </w:rPr>
        <w:t>Ciascun</w:t>
      </w:r>
      <w:proofErr w:type="spellEnd"/>
      <w:r w:rsidRPr="006716F2">
        <w:rPr>
          <w:rFonts w:eastAsia="Helvetica Neue" w:cstheme="minorHAnsi"/>
        </w:rPr>
        <w:t xml:space="preserve"> Partner </w:t>
      </w:r>
      <w:proofErr w:type="spellStart"/>
      <w:r w:rsidRPr="006716F2">
        <w:rPr>
          <w:rFonts w:eastAsia="Helvetica Neue" w:cstheme="minorHAnsi"/>
        </w:rPr>
        <w:t>s’impegna</w:t>
      </w:r>
      <w:proofErr w:type="spellEnd"/>
      <w:r w:rsidRPr="006716F2">
        <w:rPr>
          <w:rFonts w:eastAsia="Helvetica Neue" w:cstheme="minorHAnsi"/>
        </w:rPr>
        <w:t xml:space="preserve"> a:</w:t>
      </w:r>
    </w:p>
    <w:p w14:paraId="4E0FED6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hAnsiTheme="minorHAnsi" w:cstheme="minorHAnsi"/>
          <w:color w:val="000000"/>
          <w:sz w:val="22"/>
          <w:szCs w:val="22"/>
        </w:rPr>
        <w:t>Conferire al Capofila (</w:t>
      </w:r>
      <w:r w:rsidRPr="009625C9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inserire denominazione</w:t>
      </w:r>
      <w:r w:rsidRPr="00591567">
        <w:rPr>
          <w:rFonts w:asciiTheme="minorHAnsi" w:hAnsiTheme="minorHAnsi" w:cstheme="minorHAnsi"/>
          <w:color w:val="000000"/>
          <w:sz w:val="22"/>
          <w:szCs w:val="22"/>
        </w:rPr>
        <w:t xml:space="preserve">), tramite il presente Accordo di Partenariato, il mandato a sottoscrivere il Contratto d’Obbligo con lo </w:t>
      </w:r>
      <w:proofErr w:type="spellStart"/>
      <w:r w:rsidRPr="00591567">
        <w:rPr>
          <w:rFonts w:asciiTheme="minorHAnsi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413310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attuare tutte le eventuali varianti e/o modifiche al progetto, purché preventivamente autorizzate secondo le modalità previste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nella Sez.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6.3 del Bando;</w:t>
      </w:r>
    </w:p>
    <w:p w14:paraId="7F4CC49D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adottare il sistema di monitoraggio e rendicontazione che sarà stato indicato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finalizzato a raccogliere, registrare e archiviare in formato elettronico i dati per ciascuna operazione necessari per la sorveglianza, la valutazione, la gestione finanziaria, la verifica e l’audit, secondo quanto previsto dall’art. 22.2 lettera d) del Regolamento (UE) 2021/241 e tenendo conto delle indicazioni che verranno fornite dal MUR per tramite di HUB e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;</w:t>
      </w:r>
    </w:p>
    <w:p w14:paraId="3F1FAA8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comprovare il conseguimento degli obiettivi del progetto di ricerca, trasmettendo, con cadenza periodica ovvero su richiesta dello SPOKE ed HUB, ogni informazione necessaria alla corretta alimentazione del Sistema “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ReGiS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”;</w:t>
      </w:r>
    </w:p>
    <w:p w14:paraId="3CDDE1AC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predisporre la rendicontazione fisica e finanziaria delle spese effettivamente sostenute, nonché trasmettere, relativamente alle proprie attività, la documentazione necessaria alla dimostrazione dello svolgimento del progetto, secondo quanto stabilito nell’art. 6.2 del Bando;</w:t>
      </w:r>
    </w:p>
    <w:p w14:paraId="27275B2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per la propria parte delle spese effettuate per l'esecuzione delle attività, con riferimento alla loro eleggibilità ed al conseguente co-finanziamento e, ove le spese non siano ammissibili e/o eleggibili e/o non finanziate, provvedere interamente alla loro copertura;</w:t>
      </w:r>
    </w:p>
    <w:p w14:paraId="2BE0AE94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effettuare i controlli di gestione e amministrativo-contabili previsti dalla legislazione nazionale applicabile per garantire la regolarità delle procedure e delle spese sostenute, nonché la riferibilità delle spese al progetto ammesso al finanziamento sul PNRR;</w:t>
      </w:r>
    </w:p>
    <w:p w14:paraId="65961B3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ai fini della tracciabilità delle risorse del PNRR, che tutte le spese relative al progetto siano effettuate attraverso l’utilizzo di un’apposita contabilità separata, nonché rispettare l’obbligo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lastRenderedPageBreak/>
        <w:t>di indicare il CUP assegnatogli, su tutti gli atti amministrativo/contabili relativi al progetto nel rispetto del Regolamento (UE) 2018/1046 del 18 luglio 2018;</w:t>
      </w:r>
    </w:p>
    <w:p w14:paraId="4A9ED05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consentire e favorire, in ogni fase del procedimento, lo svolgimento di tutti i controlli, ispezioni e monitoraggi disposti dal MUR, facilitando altresì le verifiche dell’Ufficio competente per i controlli del MUR, dell’Unità di Audit, della Commissione europea e di altri organismi autorizzati, che verranno effettuate anche attraverso controlli in loco presso i Soggetti beneficiari dei finanziamenti;</w:t>
      </w:r>
    </w:p>
    <w:p w14:paraId="49AB7EC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 pena di sospensione o revoca del finanziamento in caso di accertata violazione, nell’attuazione del progetto, il rispetto del principio del “Do No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Significant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Harm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” (DNSH) a norma dell’articolo 17 del Regolamento (UE) 2020/852, nonché dei principi trasversali previsti dal PNRR, quali, tra gli altri, il principio del contributo all’obiettivo climatico e digitale (c.d.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tagging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), il principio di parità di genere, e l’obbligo di protezione e valorizzazione dei giovani;</w:t>
      </w:r>
    </w:p>
    <w:p w14:paraId="532ABA8F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assicurare il rispetto della normativa vigente sugli aiuti di Stato;</w:t>
      </w:r>
    </w:p>
    <w:p w14:paraId="2943D0E0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partecipare, ove richiesto, alle riunioni convocate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o dall’HUB;</w:t>
      </w:r>
    </w:p>
    <w:p w14:paraId="29B0DB7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in sede risarcitoria per qualsiasi perdita, danno o eventuale lesione derivanti da fatti, azioni o omissioni propri e/o dei propri dipendenti e collaboratori;</w:t>
      </w:r>
    </w:p>
    <w:p w14:paraId="00DF757E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individuare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eventuali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fattori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che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possano determinare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ritardi che incidano </w:t>
      </w:r>
      <w:proofErr w:type="spellStart"/>
      <w:r>
        <w:rPr>
          <w:rFonts w:asciiTheme="minorHAnsi" w:eastAsia="Roboto" w:hAnsiTheme="minorHAnsi" w:cstheme="minorHAnsi"/>
          <w:color w:val="000000"/>
          <w:sz w:val="22"/>
          <w:szCs w:val="22"/>
        </w:rPr>
        <w:t>inmaniera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considerevole sulla tempistica attuativa e di spesa definita nel progetto, relazionando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sugli stessi;</w:t>
      </w:r>
    </w:p>
    <w:p w14:paraId="17AB046B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notificare tempestivamente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, affinché 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lo notifichi all’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e se necessario 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al MUR, qualsiasi informazione significativa, fatto, problema o ritardo che possa influire sul progetto;</w:t>
      </w:r>
    </w:p>
    <w:p w14:paraId="16D545B5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adottare principi di sana gestione finanziaria, in particolare in materia di prevenzione dei   conflitti di interessi, delle frodi, della corruzione, obbligandosi a restituire i fondi che risultassero indebitamente assegnati;</w:t>
      </w:r>
    </w:p>
    <w:p w14:paraId="0EDFDEA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garantire la conservazione della documentazione, tracciabilità delle operazioni, e gli adempimenti in materia di informazione, comunicazione e visibilità, nei termini precisati negli art. 6.6 e 6.7 del Bando;</w:t>
      </w:r>
    </w:p>
    <w:p w14:paraId="3D6D56BE" w14:textId="77777777" w:rsidR="003427C1" w:rsidRPr="00591567" w:rsidRDefault="003427C1" w:rsidP="003427C1">
      <w:pPr>
        <w:pStyle w:val="Paragrafoelenco"/>
        <w:numPr>
          <w:ilvl w:val="0"/>
          <w:numId w:val="19"/>
        </w:numPr>
        <w:autoSpaceDE/>
        <w:autoSpaceDN/>
        <w:spacing w:before="60" w:after="60" w:line="276" w:lineRule="auto"/>
        <w:ind w:left="568" w:hanging="284"/>
        <w:jc w:val="both"/>
        <w:rPr>
          <w:rFonts w:cstheme="minorHAnsi"/>
          <w:color w:val="000000"/>
          <w:lang w:val="it-IT"/>
        </w:rPr>
      </w:pPr>
      <w:r w:rsidRPr="00E131E2">
        <w:rPr>
          <w:rFonts w:cstheme="minorHAnsi"/>
          <w:highlight w:val="yellow"/>
          <w:lang w:val="it-IT" w:eastAsia="it-IT"/>
        </w:rPr>
        <w:t>garantire alle istituzioni di ricerca pubbliche del CNMS il comodato d’uso gratuito delle soluzioni e dei risultati delle attività dei progetti per un periodo di almeno cinque anni dopo la fine del Programma CNMS, con possibilità di rinnovo dell’accordo.</w:t>
      </w:r>
    </w:p>
    <w:p w14:paraId="26A57D58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4 — Responsabilità</w:t>
      </w:r>
    </w:p>
    <w:p w14:paraId="35C671AF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Le Parti sono responsabili in solido nei confronti dello </w:t>
      </w:r>
      <w:proofErr w:type="spellStart"/>
      <w:r w:rsidRPr="00591567">
        <w:rPr>
          <w:rFonts w:asciiTheme="minorHAnsi" w:eastAsia="Roboto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per quanto riguarda l’esecuzione del progetto per tutta la durata del contratto d’obbligo che sarà sottoscritto dal Capofila</w:t>
      </w:r>
      <w:r>
        <w:rPr>
          <w:rFonts w:asciiTheme="minorHAnsi" w:eastAsia="Roboto" w:hAnsiTheme="minorHAnsi" w:cstheme="minorHAnsi"/>
          <w:sz w:val="22"/>
          <w:szCs w:val="22"/>
        </w:rPr>
        <w:t xml:space="preserve"> in nome e per conto di tutti i </w:t>
      </w:r>
      <w:r w:rsidRPr="00591567">
        <w:rPr>
          <w:rFonts w:asciiTheme="minorHAnsi" w:eastAsia="Roboto" w:hAnsiTheme="minorHAnsi" w:cstheme="minorHAnsi"/>
          <w:sz w:val="22"/>
          <w:szCs w:val="22"/>
        </w:rPr>
        <w:t>partner in caso di finanziamento. Ferma restando la responsabilità solidale di cui sopra, nei rapport</w:t>
      </w:r>
      <w:r>
        <w:rPr>
          <w:rFonts w:asciiTheme="minorHAnsi" w:eastAsia="Roboto" w:hAnsiTheme="minorHAnsi" w:cstheme="minorHAnsi"/>
          <w:sz w:val="22"/>
          <w:szCs w:val="22"/>
        </w:rPr>
        <w:t>i</w:t>
      </w: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interni al partenariato ciascuna delle Parti sarà responsabile per le attività di propria competenza.   </w:t>
      </w:r>
    </w:p>
    <w:p w14:paraId="190422D0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5 - Durata</w:t>
      </w:r>
    </w:p>
    <w:p w14:paraId="4EB8500A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entra in vigore dalla sua sottoscrizione e resta valido sino alla data di conclusione del Progetto, accertata dal Capofila congiuntamente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0FE37E9B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Sarà comunque valido ed avrà effetto sin tanto che sussistano pendenze tra le Parti e/o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tali da rendere applicabile il presente atto.</w:t>
      </w:r>
    </w:p>
    <w:p w14:paraId="257CB429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cesserà di avere effetto nel caso in cui il Progetto non risulti finanziato e non ottenga l’approvazione da parte dello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3C18570C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 xml:space="preserve">Articolo 6 — Disciplina dei risultati dell’attività di ricerca e sviluppo </w:t>
      </w:r>
    </w:p>
    <w:p w14:paraId="0CD02C26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737E36">
        <w:rPr>
          <w:rFonts w:eastAsia="Helvetica Neue" w:cstheme="minorHAnsi"/>
          <w:lang w:val="it-IT"/>
        </w:rPr>
        <w:t xml:space="preserve">È definita Proprietà Intellettuale Preesistente quella generata precedentemente all’elaborazione ed avvio del Progetto di Ricerca, Sviluppo ed Innovazione oggetto del presente accordo. </w:t>
      </w:r>
      <w:r w:rsidRPr="00E25B39">
        <w:rPr>
          <w:rFonts w:eastAsia="Helvetica Neue" w:cstheme="minorHAnsi"/>
          <w:lang w:val="it-IT"/>
        </w:rPr>
        <w:t xml:space="preserve">Le Parti concordano che </w:t>
      </w:r>
      <w:r w:rsidRPr="00E25B39">
        <w:rPr>
          <w:rFonts w:eastAsia="Helvetica Neue" w:cstheme="minorHAnsi"/>
          <w:lang w:val="it-IT"/>
        </w:rPr>
        <w:lastRenderedPageBreak/>
        <w:t>la Proprietà Intellettuale Preesistente rimane di proprietà e in esclusiva disponibilità della Parte che ne è titolare, fermi restando i vincoli di riservatezza a carico delle altre Parti.</w:t>
      </w:r>
    </w:p>
    <w:p w14:paraId="293A578B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Le Parti disciplinano il regime di proprietà, di utilizzo, di diffusione e di pubblicazione dei risultati derivanti dall’esecuzione dell’attività di ricerca e sviluppo nei termini seguenti:</w:t>
      </w:r>
    </w:p>
    <w:p w14:paraId="3E3D29A4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Proprietà dei Risultati e relativa tutela legale</w:t>
      </w:r>
    </w:p>
    <w:p w14:paraId="4B73509E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 </w:t>
      </w:r>
    </w:p>
    <w:p w14:paraId="21E8A7A6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 </w:t>
      </w:r>
    </w:p>
    <w:p w14:paraId="75745482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si riservano la facoltà di pervenire ad ulteriori accordi per regolamentare la protezione, l’uso e lo sfruttamento di detti risultati.</w:t>
      </w:r>
    </w:p>
    <w:p w14:paraId="0ADAEAD4" w14:textId="77777777" w:rsidR="003427C1" w:rsidRPr="000127BA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</w:rPr>
      </w:pPr>
      <w:r w:rsidRPr="000127BA">
        <w:rPr>
          <w:rFonts w:eastAsia="Helvetica Neue" w:cstheme="minorHAnsi"/>
          <w:lang w:val="it-IT"/>
        </w:rPr>
        <w:t>Diritti di Accesso</w:t>
      </w:r>
    </w:p>
    <w:p w14:paraId="0B6F7433" w14:textId="77777777" w:rsidR="003427C1" w:rsidRPr="000127BA" w:rsidRDefault="003427C1" w:rsidP="003427C1">
      <w:pPr>
        <w:pStyle w:val="Paragrafoelenco"/>
        <w:spacing w:before="60" w:after="60"/>
        <w:ind w:left="568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4DC9904F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48B200FD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Informazioni non potranno essere utilizzate per scopi diversi da quelli per i quali sono state fornite, senza una preventiva autorizzazione scritta dal soggetto che le ha fornite.</w:t>
      </w:r>
    </w:p>
    <w:p w14:paraId="6FDCBF07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delle altre Parti.</w:t>
      </w:r>
    </w:p>
    <w:p w14:paraId="02995693" w14:textId="77777777" w:rsidR="003427C1" w:rsidRPr="000127BA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4F9AEF96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lo svolgimento del Progetto</w:t>
      </w:r>
    </w:p>
    <w:p w14:paraId="05E63174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6B03DF18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0E927F27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e i risultati ottenuti delle altre Parti per lo svolgimento del Progetto.</w:t>
      </w:r>
    </w:p>
    <w:p w14:paraId="2524B025" w14:textId="77777777" w:rsidR="003427C1" w:rsidRPr="000127BA" w:rsidRDefault="003427C1" w:rsidP="003427C1">
      <w:pPr>
        <w:numPr>
          <w:ilvl w:val="0"/>
          <w:numId w:val="21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0B863F08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l’utilizzo o lo sfruttamento economico</w:t>
      </w:r>
    </w:p>
    <w:p w14:paraId="382CC33D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i seguenti principi:</w:t>
      </w:r>
    </w:p>
    <w:p w14:paraId="284AD0E1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lastRenderedPageBreak/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593C19C9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71B609E2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6FA62972" w14:textId="77777777" w:rsidR="003427C1" w:rsidRPr="00B52F53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Ogni concessione, trasferimento o attribuzione a terzi non titolari di diritti relativi ai risultati generati in comproprietà richiederà il consenso di tutti le Parti titolari.</w:t>
      </w:r>
    </w:p>
    <w:p w14:paraId="5490EE7A" w14:textId="77777777" w:rsidR="003427C1" w:rsidRPr="00A615F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</w:rPr>
      </w:pPr>
      <w:r w:rsidRPr="00A615F9">
        <w:rPr>
          <w:rFonts w:eastAsia="Helvetica Neue" w:cstheme="minorHAnsi"/>
          <w:lang w:val="it-IT"/>
        </w:rPr>
        <w:t>Riservatezza</w:t>
      </w:r>
    </w:p>
    <w:p w14:paraId="5719A618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Salvi gli obblighi di cui al Bando, ciascuna Parte si impegna a mantenere la massima riservatezza sul contenuto del presente Accordo e, conseguentemente, si impegna a non divulgarlo in alcun modo senza il preventivo consenso scritto delle altre Parti.</w:t>
      </w:r>
    </w:p>
    <w:p w14:paraId="0E05D684" w14:textId="77777777" w:rsidR="003427C1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Pubblicazioni</w:t>
      </w:r>
    </w:p>
    <w:p w14:paraId="110339BB" w14:textId="77777777" w:rsidR="003427C1" w:rsidRPr="00737E36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 xml:space="preserve"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</w:t>
      </w:r>
      <w:r w:rsidRPr="00737E36">
        <w:rPr>
          <w:rFonts w:eastAsia="Helvetica Neue" w:cstheme="minorHAnsi"/>
          <w:lang w:val="it-IT"/>
        </w:rPr>
        <w:t xml:space="preserve">In caso contrario dette pubblicazioni dovranno essere autorizzate preventivamente dalle altre Parti. </w:t>
      </w:r>
    </w:p>
    <w:p w14:paraId="43CA821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Qualora i risultati appartengano a più Parti, la pubblicazione dovrà avvenire con il consenso di tutte le Parti titolari. </w:t>
      </w:r>
      <w:r w:rsidRPr="00A615F9">
        <w:rPr>
          <w:rFonts w:eastAsia="Helvetica Neue" w:cstheme="minorHAnsi"/>
          <w:lang w:val="it-IT"/>
        </w:rPr>
        <w:t xml:space="preserve">L’assenso alla pubblicazione non sarà irragionevolmente negato e la pubblicazione potrà essere rinviata solo con riguardo a strette considerazioni sulla protezione della proprietà intellettuale scaturente dal Progetto. </w:t>
      </w:r>
    </w:p>
    <w:p w14:paraId="4AEE81C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Le Parti si impegnano inoltre a rispettare le norme previste dalle Linee Guida per le azioni di informazione e comunicazione del Ministero dell’Università e della Ricerca nella versione 2.0 del 5 luglio 2023.</w:t>
      </w:r>
    </w:p>
    <w:p w14:paraId="3AF68B8F" w14:textId="77777777" w:rsidR="003427C1" w:rsidRPr="000127BA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right="-1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Rispetto dei principi Open Science e Fair Data </w:t>
      </w:r>
    </w:p>
    <w:p w14:paraId="1F54D0FB" w14:textId="77777777" w:rsidR="003427C1" w:rsidRPr="000127BA" w:rsidRDefault="003427C1" w:rsidP="003427C1">
      <w:pPr>
        <w:pStyle w:val="Paragrafoelenco"/>
        <w:spacing w:before="60" w:after="60"/>
        <w:ind w:left="284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Ciascuna delle Parti si impegna a garantire il rispetto dei principi Open Science e Fair Data, in forza dei quali ai risultati dei progetti e ai relativi dati (ad esempio, le pubblicazioni di risultati originali della ricerca scientifica, i dati grezzi e i metadati, le fonti, le rappresentazioni digitali grafiche e di immagini e i materiali multimediali scientifici) deve essere garantito un accesso aperto al pubblico nel minor tempo e con il minor numero di limitazioni possibile, in linea con il  principio “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open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possible</w:t>
      </w:r>
      <w:proofErr w:type="spellEnd"/>
      <w:r w:rsidRPr="000127BA">
        <w:rPr>
          <w:rFonts w:eastAsia="Helvetica Neue" w:cstheme="minorHAnsi"/>
          <w:lang w:val="it-IT"/>
        </w:rPr>
        <w:t xml:space="preserve">,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closed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necessary</w:t>
      </w:r>
      <w:proofErr w:type="spellEnd"/>
      <w:r w:rsidRPr="000127BA">
        <w:rPr>
          <w:rFonts w:eastAsia="Helvetica Neue" w:cstheme="minorHAnsi"/>
          <w:lang w:val="it-IT"/>
        </w:rPr>
        <w:t>”, adottando le migliori pratiche dell’“Open science” e “FAIR Data Management”.</w:t>
      </w:r>
    </w:p>
    <w:p w14:paraId="13E1F378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E46049B" w14:textId="77777777" w:rsidR="003427C1" w:rsidRPr="001E0E37" w:rsidRDefault="003427C1" w:rsidP="003427C1">
      <w:pPr>
        <w:spacing w:before="60" w:after="60"/>
        <w:jc w:val="both"/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</w:pP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Firma digitale o elettronica del legale rappresentante o soggetto delegato con procura di legge con potere di firma di </w:t>
      </w:r>
      <w:r w:rsidRPr="001E0E37">
        <w:rPr>
          <w:rFonts w:asciiTheme="minorHAnsi" w:hAnsiTheme="minorHAnsi" w:cstheme="minorHAnsi"/>
          <w:b/>
          <w:i/>
          <w:color w:val="365F91" w:themeColor="accent1" w:themeShade="BF"/>
          <w:sz w:val="22"/>
          <w:szCs w:val="22"/>
        </w:rPr>
        <w:t>ciascun partner</w:t>
      </w:r>
    </w:p>
    <w:p w14:paraId="3F2B891F" w14:textId="77777777" w:rsidR="003427C1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3849CD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 Capofila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         </w:t>
      </w:r>
    </w:p>
    <w:p w14:paraId="7E73E14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E96A6FB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1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3490AF98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AD2DD7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2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67C45FDA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39E2AB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lastRenderedPageBreak/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3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15D9F711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5E80464" w14:textId="77777777" w:rsidR="003427C1" w:rsidRPr="00591567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91567">
        <w:rPr>
          <w:rFonts w:asciiTheme="minorHAnsi" w:hAnsiTheme="minorHAnsi" w:cstheme="minorHAnsi"/>
          <w:i/>
          <w:sz w:val="22"/>
          <w:szCs w:val="22"/>
        </w:rPr>
        <w:t>Documento firmato digitalmente ai sensi del D.Lgs.82/2005</w:t>
      </w:r>
    </w:p>
    <w:p w14:paraId="10FD5988" w14:textId="77777777" w:rsidR="003427C1" w:rsidRPr="00591567" w:rsidRDefault="003427C1" w:rsidP="003427C1">
      <w:pPr>
        <w:ind w:right="-1"/>
        <w:rPr>
          <w:rFonts w:asciiTheme="minorHAnsi" w:hAnsiTheme="minorHAnsi" w:cstheme="minorHAnsi"/>
          <w:sz w:val="22"/>
          <w:szCs w:val="22"/>
        </w:rPr>
      </w:pPr>
    </w:p>
    <w:p w14:paraId="62606AC8" w14:textId="77777777" w:rsidR="003427C1" w:rsidRPr="0017439B" w:rsidRDefault="003427C1" w:rsidP="003427C1">
      <w:pPr>
        <w:ind w:right="-1"/>
        <w:jc w:val="right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</w:p>
    <w:p w14:paraId="1F0F4402" w14:textId="4DBC6F4F" w:rsidR="0018262F" w:rsidRPr="003427C1" w:rsidRDefault="0018262F" w:rsidP="003427C1"/>
    <w:sectPr w:rsidR="0018262F" w:rsidRPr="003427C1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30131" w14:textId="77777777" w:rsidR="00797EEE" w:rsidRDefault="00797EEE" w:rsidP="000335A2">
      <w:r>
        <w:separator/>
      </w:r>
    </w:p>
  </w:endnote>
  <w:endnote w:type="continuationSeparator" w:id="0">
    <w:p w14:paraId="3F1D42B2" w14:textId="77777777" w:rsidR="00797EEE" w:rsidRDefault="00797EEE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9C076" w14:textId="77777777" w:rsidR="00797EEE" w:rsidRDefault="00797EEE" w:rsidP="000335A2">
      <w:r>
        <w:separator/>
      </w:r>
    </w:p>
  </w:footnote>
  <w:footnote w:type="continuationSeparator" w:id="0">
    <w:p w14:paraId="69C4C301" w14:textId="77777777" w:rsidR="00797EEE" w:rsidRDefault="00797EEE" w:rsidP="0003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797EEE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797EEE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797EEE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28"/>
  </w:num>
  <w:num w:numId="2">
    <w:abstractNumId w:val="18"/>
  </w:num>
  <w:num w:numId="3">
    <w:abstractNumId w:val="19"/>
  </w:num>
  <w:num w:numId="4">
    <w:abstractNumId w:val="15"/>
  </w:num>
  <w:num w:numId="5">
    <w:abstractNumId w:val="21"/>
  </w:num>
  <w:num w:numId="6">
    <w:abstractNumId w:val="5"/>
  </w:num>
  <w:num w:numId="7">
    <w:abstractNumId w:val="3"/>
  </w:num>
  <w:num w:numId="8">
    <w:abstractNumId w:val="1"/>
  </w:num>
  <w:num w:numId="9">
    <w:abstractNumId w:val="27"/>
  </w:num>
  <w:num w:numId="10">
    <w:abstractNumId w:val="25"/>
  </w:num>
  <w:num w:numId="11">
    <w:abstractNumId w:val="16"/>
  </w:num>
  <w:num w:numId="12">
    <w:abstractNumId w:val="17"/>
  </w:num>
  <w:num w:numId="13">
    <w:abstractNumId w:val="26"/>
  </w:num>
  <w:num w:numId="14">
    <w:abstractNumId w:val="23"/>
  </w:num>
  <w:num w:numId="15">
    <w:abstractNumId w:val="24"/>
  </w:num>
  <w:num w:numId="16">
    <w:abstractNumId w:val="11"/>
  </w:num>
  <w:num w:numId="17">
    <w:abstractNumId w:val="7"/>
  </w:num>
  <w:num w:numId="18">
    <w:abstractNumId w:val="8"/>
  </w:num>
  <w:num w:numId="19">
    <w:abstractNumId w:val="4"/>
  </w:num>
  <w:num w:numId="20">
    <w:abstractNumId w:val="0"/>
  </w:num>
  <w:num w:numId="21">
    <w:abstractNumId w:val="6"/>
  </w:num>
  <w:num w:numId="22">
    <w:abstractNumId w:val="10"/>
  </w:num>
  <w:num w:numId="23">
    <w:abstractNumId w:val="13"/>
  </w:num>
  <w:num w:numId="24">
    <w:abstractNumId w:val="2"/>
  </w:num>
  <w:num w:numId="25">
    <w:abstractNumId w:val="9"/>
  </w:num>
  <w:num w:numId="26">
    <w:abstractNumId w:val="22"/>
  </w:num>
  <w:num w:numId="27">
    <w:abstractNumId w:val="12"/>
  </w:num>
  <w:num w:numId="28">
    <w:abstractNumId w:val="20"/>
  </w:num>
  <w:num w:numId="2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614028-ADE1-4513-98EA-2FE94384929B}"/>
</file>

<file path=customXml/itemProps3.xml><?xml version="1.0" encoding="utf-8"?>
<ds:datastoreItem xmlns:ds="http://schemas.openxmlformats.org/officeDocument/2006/customXml" ds:itemID="{9F3B6106-084B-4779-AF3A-7E417447B3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2</cp:revision>
  <cp:lastPrinted>2024-01-31T12:39:00Z</cp:lastPrinted>
  <dcterms:created xsi:type="dcterms:W3CDTF">2024-02-07T17:15:00Z</dcterms:created>
  <dcterms:modified xsi:type="dcterms:W3CDTF">2024-02-07T17:15:00Z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