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25FC34B0" w14:textId="7210E1A3" w:rsidR="002E272B" w:rsidRPr="007B5416" w:rsidRDefault="005D0D28" w:rsidP="0030154C">
      <w:pPr>
        <w:autoSpaceDE w:val="0"/>
        <w:autoSpaceDN w:val="0"/>
        <w:adjustRightInd w:val="0"/>
        <w:spacing w:after="0" w:line="240" w:lineRule="auto"/>
        <w:jc w:val="both"/>
        <w:rPr>
          <w:rFonts w:ascii="Century Gothic" w:hAnsi="Century Gothic"/>
          <w:bCs/>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 xml:space="preserve">di </w:t>
      </w:r>
      <w:r w:rsidR="005511CA" w:rsidRPr="005511CA">
        <w:rPr>
          <w:rFonts w:ascii="Century Gothic" w:hAnsi="Century Gothic"/>
        </w:rPr>
        <w:t xml:space="preserve">PROCEDURA APERTA SOPRA SOGLIA COMUNITARIA AI SENSI DELL’ART. 71 DEL D. LGS. N. 36/2023 PER L’AFFIDAMENTO DELLA FORNITURA DI: 1) INTERFEROMETRO RADAR A MICROONDE DA TERRA COMPOSTO DA ANTENNE RADAR, BINARIO, TREPPIEDI E MODULO ALIMENTATORE; 2) UN INTERROGATORE DAS (DISTRIBUTED ACOUSTIC SENSING) DI FIBRE OTTICHE COMPRENSIVO DI GPS E SOFTWARE PROPRIETARIO PER L'ANALISI DEI DATI ACQUISITI PER APPLICAZIONI SISMOLOGICHE - SUDDIVISA IN DUE LOTTI FUNZIONALI, CON IL CRITERIO DELL’OFFERTA ECONOMICAMENTE PIÙ VANTAGGIOSA SULLA BASE DEL MIGLIOR RAPPORTO QUALITÀ/PREZZO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B6452D" w:rsidRPr="00B6452D">
        <w:rPr>
          <w:rFonts w:ascii="Century Gothic" w:hAnsi="Century Gothic"/>
        </w:rPr>
        <w:t>LOTTO 1 CIG B4045370FD LOTTO 2 CIG B4045381D0</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225A2C2" w:rsidR="00B56D27" w:rsidRPr="007B5416" w:rsidRDefault="00FC60F7" w:rsidP="00B56D27">
      <w:pPr>
        <w:jc w:val="both"/>
        <w:rPr>
          <w:rFonts w:ascii="Century Gothic" w:hAnsi="Century Gothic" w:cs="Times New Roman"/>
        </w:rPr>
      </w:pPr>
      <w:r>
        <w:rPr>
          <w:rFonts w:ascii="Century Gothic" w:hAnsi="Century Gothic" w:cs="Times New Roman"/>
        </w:rPr>
        <w:t>L’Istituto</w:t>
      </w:r>
      <w:r w:rsidR="005511CA">
        <w:rPr>
          <w:rFonts w:ascii="Century Gothic" w:hAnsi="Century Gothic" w:cs="Times New Roman"/>
        </w:rPr>
        <w:t xml:space="preserve"> di Metodologie per l’Analisi Ambientale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5511CA">
        <w:rPr>
          <w:rFonts w:ascii="Century Gothic" w:hAnsi="Century Gothic" w:cs="Times New Roman"/>
        </w:rPr>
        <w:t>Dott.ssa Gelsomina Pappalardo</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03B4EFA9" w14:textId="77777777" w:rsidR="00F2244B" w:rsidRDefault="00F2244B" w:rsidP="002A1130">
      <w:pPr>
        <w:jc w:val="both"/>
        <w:rPr>
          <w:rFonts w:ascii="Century Gothic" w:hAnsi="Century Gothic" w:cs="Times New Roman"/>
        </w:rPr>
      </w:pPr>
    </w:p>
    <w:p w14:paraId="69120C74" w14:textId="77777777" w:rsidR="00F2244B" w:rsidRPr="002A1130" w:rsidRDefault="00F2244B" w:rsidP="002A1130">
      <w:pPr>
        <w:jc w:val="both"/>
        <w:rPr>
          <w:rFonts w:ascii="Century Gothic" w:hAnsi="Century Gothic" w:cs="Times New Roman"/>
        </w:rPr>
      </w:pP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121622B8" w14:textId="763EAC28" w:rsidR="00BA08AF" w:rsidRPr="00BA08AF" w:rsidRDefault="00BA08AF" w:rsidP="00BA08AF">
      <w:pPr>
        <w:tabs>
          <w:tab w:val="left" w:pos="5520"/>
        </w:tabs>
        <w:rPr>
          <w:rFonts w:ascii="Century Gothic" w:hAnsi="Century Gothic" w:cs="Times New Roman"/>
        </w:rPr>
      </w:pPr>
      <w:r>
        <w:rPr>
          <w:rFonts w:ascii="Century Gothic" w:hAnsi="Century Gothic" w:cs="Times New Roman"/>
        </w:rPr>
        <w:tab/>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Piano Integrato di Attività e Organizzazione (PIAO) 2023-2025 del Consiglio Nazionale delle Ricerche (CNR), adottato con delibera del </w:t>
      </w:r>
      <w:proofErr w:type="gramStart"/>
      <w:r w:rsidRPr="002A1130">
        <w:rPr>
          <w:rFonts w:ascii="Century Gothic" w:hAnsi="Century Gothic" w:cs="Times New Roman"/>
        </w:rPr>
        <w:t>Consiglio di Amministrazione</w:t>
      </w:r>
      <w:proofErr w:type="gramEnd"/>
      <w:r w:rsidRPr="002A1130">
        <w:rPr>
          <w:rFonts w:ascii="Century Gothic" w:hAnsi="Century Gothic" w:cs="Times New Roman"/>
        </w:rPr>
        <w:t xml:space="preserv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lastRenderedPageBreak/>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lastRenderedPageBreak/>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lastRenderedPageBreak/>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2244B">
      <w:headerReference w:type="default" r:id="rId9"/>
      <w:footerReference w:type="default" r:id="rId10"/>
      <w:pgSz w:w="11906" w:h="16838"/>
      <w:pgMar w:top="1670" w:right="1134" w:bottom="426" w:left="1134" w:header="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360A6" w14:textId="77777777" w:rsidR="005733AC" w:rsidRDefault="005733AC" w:rsidP="002B6EFC">
      <w:pPr>
        <w:spacing w:after="0" w:line="240" w:lineRule="auto"/>
      </w:pPr>
      <w:r>
        <w:separator/>
      </w:r>
    </w:p>
  </w:endnote>
  <w:endnote w:type="continuationSeparator" w:id="0">
    <w:p w14:paraId="3FD6E138" w14:textId="77777777" w:rsidR="005733AC" w:rsidRDefault="005733AC"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Kanit ExtraLight">
    <w:altName w:val="Browallia New"/>
    <w:charset w:val="00"/>
    <w:family w:val="auto"/>
    <w:pitch w:val="variable"/>
    <w:sig w:usb0="21000007" w:usb1="00000001" w:usb2="00000000" w:usb3="00000000" w:csb0="00010193"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DAC56" w14:textId="77777777" w:rsidR="00EB3B57" w:rsidRDefault="00EB3B57"/>
  <w:p w14:paraId="18CDC0F0" w14:textId="471F760E" w:rsidR="00EB3B57" w:rsidRDefault="00F2244B" w:rsidP="00F2244B">
    <w:pPr>
      <w:tabs>
        <w:tab w:val="left" w:pos="1125"/>
      </w:tabs>
    </w:pPr>
    <w:r>
      <w:tab/>
    </w:r>
  </w:p>
  <w:p w14:paraId="3B5FD566" w14:textId="5C736538" w:rsidR="00427B14" w:rsidRDefault="00427B14"/>
  <w:p w14:paraId="0D7DA5C4" w14:textId="1B110FD9" w:rsidR="00427B14" w:rsidRDefault="00F2244B">
    <w:r w:rsidRPr="00AD3130">
      <w:rPr>
        <w:rFonts w:ascii="Kanit ExtraLight" w:eastAsia="Arial Unicode MS" w:hAnsi="Kanit ExtraLight" w:cs="Kanit ExtraLight"/>
        <w:noProof/>
        <w:kern w:val="1"/>
        <w:sz w:val="16"/>
        <w:szCs w:val="16"/>
      </w:rPr>
      <w:drawing>
        <wp:anchor distT="0" distB="0" distL="114300" distR="114300" simplePos="0" relativeHeight="251665408" behindDoc="1" locked="0" layoutInCell="1" allowOverlap="1" wp14:anchorId="019CF81B" wp14:editId="3F56E165">
          <wp:simplePos x="0" y="0"/>
          <wp:positionH relativeFrom="margin">
            <wp:posOffset>9525</wp:posOffset>
          </wp:positionH>
          <wp:positionV relativeFrom="margin">
            <wp:posOffset>7327900</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137340561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F2244B" w:rsidRPr="00F00377" w14:paraId="627140CB" w14:textId="77777777" w:rsidTr="00BB6BE4">
      <w:trPr>
        <w:cantSplit/>
        <w:trHeight w:val="1115"/>
      </w:trPr>
      <w:tc>
        <w:tcPr>
          <w:tcW w:w="3605" w:type="pct"/>
          <w:tcBorders>
            <w:right w:val="nil"/>
          </w:tcBorders>
          <w:shd w:val="clear" w:color="auto" w:fill="2A65B0"/>
          <w:tcMar>
            <w:left w:w="567" w:type="dxa"/>
            <w:right w:w="340" w:type="dxa"/>
          </w:tcMar>
          <w:vAlign w:val="center"/>
        </w:tcPr>
        <w:p w14:paraId="0BCF574C" w14:textId="65696D51" w:rsidR="00F2244B" w:rsidRPr="00F00377" w:rsidRDefault="00F2244B" w:rsidP="00F2244B">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53C22002150006</w:t>
          </w:r>
        </w:p>
        <w:p w14:paraId="2C54BBFA" w14:textId="5F6F86E2" w:rsidR="00F2244B" w:rsidRPr="00F00377" w:rsidRDefault="00F2244B" w:rsidP="00F2244B">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49BC3698" w14:textId="44AF7B11" w:rsidR="00F2244B" w:rsidRPr="00F00377" w:rsidRDefault="00F2244B" w:rsidP="00F2244B">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548737B7" w14:textId="77777777" w:rsidR="00F2244B" w:rsidRPr="00F00377" w:rsidRDefault="00F2244B" w:rsidP="00F2244B">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7456" behindDoc="0" locked="0" layoutInCell="1" allowOverlap="1" wp14:anchorId="2DCF995E" wp14:editId="103B7B06">
                <wp:simplePos x="0" y="0"/>
                <wp:positionH relativeFrom="margin">
                  <wp:posOffset>40640</wp:posOffset>
                </wp:positionH>
                <wp:positionV relativeFrom="margin">
                  <wp:posOffset>196850</wp:posOffset>
                </wp:positionV>
                <wp:extent cx="1336040" cy="258445"/>
                <wp:effectExtent l="0" t="0" r="0" b="0"/>
                <wp:wrapNone/>
                <wp:docPr id="541330053"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F933827" w14:textId="5C6319B0" w:rsidR="00762A3E" w:rsidRDefault="00762A3E" w:rsidP="006C3871">
    <w:pPr>
      <w:pStyle w:val="Pidipagina"/>
    </w:pPr>
  </w:p>
  <w:p w14:paraId="3FBDCBC5" w14:textId="1424FC13" w:rsidR="00EB3B57" w:rsidRDefault="00EB3B57" w:rsidP="006C3871">
    <w:pPr>
      <w:pStyle w:val="Pidipagina"/>
    </w:pPr>
  </w:p>
  <w:p w14:paraId="65A9147E" w14:textId="2CC0E8D2" w:rsidR="00EB3B57" w:rsidRDefault="00EB3B57" w:rsidP="006C3871">
    <w:pPr>
      <w:pStyle w:val="Pidipagina"/>
    </w:pPr>
  </w:p>
  <w:p w14:paraId="3E6D6AA3" w14:textId="22502AF2" w:rsidR="00EB3B57" w:rsidRPr="006C3871" w:rsidRDefault="00EB3B57" w:rsidP="006C38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F19D5" w14:textId="77777777" w:rsidR="005733AC" w:rsidRDefault="005733AC" w:rsidP="002B6EFC">
      <w:pPr>
        <w:spacing w:after="0" w:line="240" w:lineRule="auto"/>
      </w:pPr>
      <w:r>
        <w:separator/>
      </w:r>
    </w:p>
  </w:footnote>
  <w:footnote w:type="continuationSeparator" w:id="0">
    <w:p w14:paraId="3C06CF97" w14:textId="77777777" w:rsidR="005733AC" w:rsidRDefault="005733AC"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235148187" name="Immagine 1235148187"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Default="002B6EFC" w:rsidP="00B5072B">
    <w:pPr>
      <w:pStyle w:val="Default"/>
      <w:rPr>
        <w:b/>
      </w:rPr>
    </w:pPr>
  </w:p>
  <w:p w14:paraId="7A699EBD" w14:textId="77777777" w:rsidR="0018652D" w:rsidRDefault="0018652D" w:rsidP="00B5072B">
    <w:pPr>
      <w:pStyle w:val="Default"/>
      <w:rPr>
        <w:b/>
      </w:rPr>
    </w:pPr>
  </w:p>
  <w:p w14:paraId="144BC3E6" w14:textId="77777777" w:rsidR="0018652D" w:rsidRDefault="0018652D" w:rsidP="00B5072B">
    <w:pPr>
      <w:pStyle w:val="Default"/>
      <w:rPr>
        <w:b/>
      </w:rPr>
    </w:pPr>
  </w:p>
  <w:p w14:paraId="3EE04599" w14:textId="0470CE4A" w:rsidR="0018652D" w:rsidRDefault="005F21FC" w:rsidP="00B5072B">
    <w:pPr>
      <w:pStyle w:val="Default"/>
      <w:rPr>
        <w:b/>
      </w:rPr>
    </w:pPr>
    <w:r w:rsidRPr="005A6B28">
      <w:rPr>
        <w:rFonts w:ascii="Calibri" w:eastAsia="Arial Unicode MS" w:hAnsi="Calibri" w:cs="Calibri"/>
        <w:noProof/>
        <w:kern w:val="1"/>
        <w:sz w:val="22"/>
        <w:szCs w:val="22"/>
        <w:lang w:val="de-DE"/>
      </w:rPr>
      <w:drawing>
        <wp:anchor distT="0" distB="0" distL="114300" distR="114300" simplePos="0" relativeHeight="251661312" behindDoc="1" locked="0" layoutInCell="1" allowOverlap="1" wp14:anchorId="77734B49" wp14:editId="6CA12C4F">
          <wp:simplePos x="0" y="0"/>
          <wp:positionH relativeFrom="margin">
            <wp:posOffset>-552450</wp:posOffset>
          </wp:positionH>
          <wp:positionV relativeFrom="paragraph">
            <wp:posOffset>325755</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52863761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3196A574" w14:textId="77777777" w:rsidR="0018652D" w:rsidRPr="003C1392" w:rsidRDefault="0018652D"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8652D"/>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2E272B"/>
    <w:rsid w:val="0030154C"/>
    <w:rsid w:val="00301585"/>
    <w:rsid w:val="003054DC"/>
    <w:rsid w:val="00334512"/>
    <w:rsid w:val="00345CD0"/>
    <w:rsid w:val="00380399"/>
    <w:rsid w:val="003829A1"/>
    <w:rsid w:val="00382C59"/>
    <w:rsid w:val="0039779A"/>
    <w:rsid w:val="003A65EC"/>
    <w:rsid w:val="003C1392"/>
    <w:rsid w:val="003C5FED"/>
    <w:rsid w:val="003D1C40"/>
    <w:rsid w:val="003E3587"/>
    <w:rsid w:val="00420285"/>
    <w:rsid w:val="004259AD"/>
    <w:rsid w:val="00427B14"/>
    <w:rsid w:val="004462E4"/>
    <w:rsid w:val="0046079A"/>
    <w:rsid w:val="00477BC9"/>
    <w:rsid w:val="00480F28"/>
    <w:rsid w:val="00496853"/>
    <w:rsid w:val="004A152C"/>
    <w:rsid w:val="004C6A31"/>
    <w:rsid w:val="004E0152"/>
    <w:rsid w:val="004E57C6"/>
    <w:rsid w:val="0050271E"/>
    <w:rsid w:val="005511CA"/>
    <w:rsid w:val="005626CA"/>
    <w:rsid w:val="00567750"/>
    <w:rsid w:val="005733AC"/>
    <w:rsid w:val="005D0D28"/>
    <w:rsid w:val="005D672F"/>
    <w:rsid w:val="005D7D44"/>
    <w:rsid w:val="005E52E9"/>
    <w:rsid w:val="005F21FC"/>
    <w:rsid w:val="005F722A"/>
    <w:rsid w:val="00616C6B"/>
    <w:rsid w:val="00634571"/>
    <w:rsid w:val="00634811"/>
    <w:rsid w:val="006357D9"/>
    <w:rsid w:val="0064411D"/>
    <w:rsid w:val="00665961"/>
    <w:rsid w:val="00670728"/>
    <w:rsid w:val="00671814"/>
    <w:rsid w:val="00677828"/>
    <w:rsid w:val="006816B8"/>
    <w:rsid w:val="006B12CB"/>
    <w:rsid w:val="006C3871"/>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7F2"/>
    <w:rsid w:val="00823D37"/>
    <w:rsid w:val="00832A64"/>
    <w:rsid w:val="008341C6"/>
    <w:rsid w:val="00843788"/>
    <w:rsid w:val="00851016"/>
    <w:rsid w:val="00861B1A"/>
    <w:rsid w:val="008631FB"/>
    <w:rsid w:val="00887954"/>
    <w:rsid w:val="00893A0D"/>
    <w:rsid w:val="008B1C2E"/>
    <w:rsid w:val="008B5E28"/>
    <w:rsid w:val="008C2498"/>
    <w:rsid w:val="008F2D61"/>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6452D"/>
    <w:rsid w:val="00B952B7"/>
    <w:rsid w:val="00BA08AF"/>
    <w:rsid w:val="00BA4F02"/>
    <w:rsid w:val="00BC35C3"/>
    <w:rsid w:val="00BC4C5D"/>
    <w:rsid w:val="00BD14BC"/>
    <w:rsid w:val="00BD6808"/>
    <w:rsid w:val="00BD73C9"/>
    <w:rsid w:val="00BF1E9F"/>
    <w:rsid w:val="00C048E3"/>
    <w:rsid w:val="00C417A8"/>
    <w:rsid w:val="00C82DFF"/>
    <w:rsid w:val="00C83199"/>
    <w:rsid w:val="00C83742"/>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B3B57"/>
    <w:rsid w:val="00EE04FE"/>
    <w:rsid w:val="00EE62F2"/>
    <w:rsid w:val="00EE7C02"/>
    <w:rsid w:val="00F07994"/>
    <w:rsid w:val="00F1437E"/>
    <w:rsid w:val="00F2244B"/>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2225</Words>
  <Characters>12689</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LUIGI FRANCO</cp:lastModifiedBy>
  <cp:revision>19</cp:revision>
  <dcterms:created xsi:type="dcterms:W3CDTF">2023-07-24T14:24:00Z</dcterms:created>
  <dcterms:modified xsi:type="dcterms:W3CDTF">2024-10-28T11:43:00Z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