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A9C03" w14:textId="4DF3B85B" w:rsidR="00E667EE" w:rsidRDefault="007F5082" w:rsidP="00E667EE">
      <w:pPr>
        <w:spacing w:after="60"/>
        <w:jc w:val="both"/>
        <w:rPr>
          <w:rFonts w:cstheme="minorHAnsi"/>
          <w:caps/>
          <w:szCs w:val="20"/>
        </w:rPr>
      </w:pPr>
      <w:r w:rsidRPr="007F5082">
        <w:rPr>
          <w:rFonts w:cstheme="minorHAnsi"/>
          <w:b/>
          <w:bCs/>
          <w:caps/>
        </w:rPr>
        <w:t>RELAZIONE TECNICA</w:t>
      </w:r>
      <w:r>
        <w:rPr>
          <w:rFonts w:cstheme="minorHAnsi"/>
          <w:caps/>
        </w:rPr>
        <w:t xml:space="preserve"> </w:t>
      </w:r>
      <w:r w:rsidR="00E667EE" w:rsidRPr="004009F8">
        <w:rPr>
          <w:rFonts w:cstheme="minorHAnsi"/>
          <w:caps/>
          <w:szCs w:val="20"/>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FD76C6" w:rsidRPr="00FD76C6">
        <w:rPr>
          <w:rFonts w:cstheme="minorHAnsi"/>
          <w:caps/>
          <w:szCs w:val="20"/>
        </w:rPr>
        <w:t xml:space="preserve">LOTTO 1 CIG B4045370FD </w:t>
      </w:r>
    </w:p>
    <w:p w14:paraId="2796ED6E" w14:textId="00BFF5A3" w:rsidR="00752882" w:rsidRDefault="00752882" w:rsidP="00752882">
      <w:pPr>
        <w:jc w:val="both"/>
        <w:rPr>
          <w:rFonts w:cstheme="minorHAnsi"/>
          <w:caps/>
          <w:szCs w:val="20"/>
        </w:rPr>
      </w:pPr>
    </w:p>
    <w:p w14:paraId="09AE0610" w14:textId="641F66C8"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75B04829" w14:textId="77777777" w:rsidTr="002A60DF">
        <w:tc>
          <w:tcPr>
            <w:tcW w:w="516" w:type="dxa"/>
          </w:tcPr>
          <w:p w14:paraId="5EBDEB2C"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bookmarkStart w:id="0" w:name="_Hlk180584576"/>
            <w:r w:rsidRPr="002F2D8B">
              <w:rPr>
                <w:rFonts w:cstheme="minorHAnsi"/>
                <w:bCs/>
                <w:sz w:val="32"/>
                <w:szCs w:val="32"/>
              </w:rPr>
              <w:t>□</w:t>
            </w:r>
          </w:p>
        </w:tc>
        <w:tc>
          <w:tcPr>
            <w:tcW w:w="897" w:type="dxa"/>
            <w:vAlign w:val="center"/>
          </w:tcPr>
          <w:p w14:paraId="36F3DCD0" w14:textId="77777777" w:rsidR="00103C57" w:rsidRPr="002F2D8B" w:rsidRDefault="00103C57" w:rsidP="002A60DF">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446AEBA2" w14:textId="28F3A727" w:rsidR="00103C57" w:rsidRPr="00176117" w:rsidRDefault="000E07A0" w:rsidP="000E07A0">
            <w:pPr>
              <w:jc w:val="both"/>
              <w:rPr>
                <w:rFonts w:cstheme="minorHAnsi"/>
                <w:iCs/>
              </w:rPr>
            </w:pPr>
            <w:r w:rsidRPr="004009F8">
              <w:rPr>
                <w:rFonts w:cstheme="minorHAnsi"/>
                <w:caps/>
                <w:szCs w:val="20"/>
              </w:rPr>
              <w:t>INTERFEROMETRO RADAR A MICROONDE DA TERRA COMPOSTO DA ANTENNE RADAR, BINARIO, TREPPIEDI E MODULO ALIMENTATORE</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1897504D" w:rsidR="00103C57" w:rsidRPr="00124E24" w:rsidRDefault="001622B2" w:rsidP="002A60DF">
            <w:pPr>
              <w:jc w:val="center"/>
              <w:rPr>
                <w:rFonts w:cstheme="minorHAnsi"/>
                <w:iCs/>
              </w:rPr>
            </w:pPr>
            <w:r w:rsidRPr="00FD76C6">
              <w:rPr>
                <w:rFonts w:cstheme="minorHAnsi"/>
                <w:caps/>
                <w:szCs w:val="20"/>
              </w:rPr>
              <w:t>B4045370FD</w:t>
            </w:r>
          </w:p>
        </w:tc>
      </w:tr>
      <w:bookmarkEnd w:id="0"/>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01CD36F6" w14:textId="77777777" w:rsidR="00576761" w:rsidRDefault="00576761" w:rsidP="00576761">
      <w:pPr>
        <w:jc w:val="both"/>
        <w:rPr>
          <w:rFonts w:cstheme="minorHAnsi"/>
          <w:i/>
        </w:rPr>
      </w:pPr>
      <w:r>
        <w:rPr>
          <w:rFonts w:cstheme="minorHAnsi"/>
          <w:i/>
        </w:rPr>
        <w:t xml:space="preserve">(la relazione tecnica deve essere deve essere </w:t>
      </w:r>
      <w:r w:rsidRPr="000E4C21">
        <w:rPr>
          <w:rFonts w:cstheme="minorHAnsi"/>
          <w:i/>
        </w:rPr>
        <w:t xml:space="preserve">redatta in lingua italiana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1C93565C" w14:textId="77777777" w:rsidR="000E07A0" w:rsidRDefault="000E07A0" w:rsidP="007F5082">
      <w:pPr>
        <w:rPr>
          <w:rFonts w:cstheme="minorHAnsi"/>
          <w:b/>
        </w:rPr>
      </w:pPr>
    </w:p>
    <w:p w14:paraId="4487F0E9" w14:textId="77777777" w:rsidR="000E07A0" w:rsidRDefault="000E07A0" w:rsidP="007F5082">
      <w:pPr>
        <w:rPr>
          <w:rFonts w:cstheme="minorHAnsi"/>
          <w:b/>
        </w:rPr>
      </w:pPr>
    </w:p>
    <w:p w14:paraId="7942EDAB" w14:textId="77777777" w:rsidR="007B5C18" w:rsidRDefault="007B5C18" w:rsidP="007B5C18">
      <w:pPr>
        <w:rPr>
          <w:rFonts w:cstheme="minorHAnsi"/>
          <w:sz w:val="22"/>
          <w:szCs w:val="22"/>
        </w:rPr>
      </w:pPr>
    </w:p>
    <w:p w14:paraId="17A4C52B" w14:textId="77777777" w:rsidR="007B5C18" w:rsidRDefault="007B5C18" w:rsidP="007B5C18">
      <w:pPr>
        <w:rPr>
          <w:rFonts w:cstheme="minorHAnsi"/>
          <w:b/>
          <w:i/>
          <w:szCs w:val="20"/>
        </w:rPr>
      </w:pPr>
    </w:p>
    <w:p w14:paraId="29A3F8D7" w14:textId="77777777" w:rsidR="00812144" w:rsidRDefault="00812144" w:rsidP="007B5C18">
      <w:pPr>
        <w:rPr>
          <w:rFonts w:cstheme="minorHAnsi"/>
          <w:b/>
          <w:i/>
          <w:szCs w:val="20"/>
        </w:rPr>
      </w:pPr>
    </w:p>
    <w:p w14:paraId="7028DA66" w14:textId="71446AA8" w:rsidR="00812144" w:rsidRDefault="00683F9C" w:rsidP="00683F9C">
      <w:pPr>
        <w:jc w:val="both"/>
        <w:rPr>
          <w:rFonts w:cstheme="minorHAnsi"/>
          <w:b/>
          <w:i/>
          <w:szCs w:val="20"/>
        </w:rPr>
      </w:pPr>
      <w:r w:rsidRPr="00683F9C">
        <w:rPr>
          <w:rFonts w:cstheme="minorHAnsi"/>
          <w:b/>
          <w:i/>
          <w:szCs w:val="20"/>
        </w:rPr>
        <w:t xml:space="preserve">Lotto1: </w:t>
      </w:r>
      <w:r>
        <w:rPr>
          <w:rFonts w:cstheme="minorHAnsi"/>
          <w:b/>
          <w:i/>
          <w:szCs w:val="20"/>
        </w:rPr>
        <w:t>I</w:t>
      </w:r>
      <w:r w:rsidRPr="00683F9C">
        <w:rPr>
          <w:rFonts w:cstheme="minorHAnsi"/>
          <w:b/>
          <w:i/>
          <w:szCs w:val="20"/>
        </w:rPr>
        <w:t>nterferometro radar a microonde da terra composto da antenne radar, binario, treppiedi e modulo alimentatore</w:t>
      </w:r>
    </w:p>
    <w:p w14:paraId="02DA0B86" w14:textId="77777777" w:rsidR="00812144" w:rsidRDefault="00812144" w:rsidP="007B5C18">
      <w:pPr>
        <w:rPr>
          <w:rFonts w:cstheme="minorHAnsi"/>
          <w:b/>
          <w:i/>
          <w:szCs w:val="20"/>
        </w:rPr>
      </w:pPr>
    </w:p>
    <w:p w14:paraId="4244A0F4" w14:textId="77777777" w:rsidR="00812144" w:rsidRDefault="00812144" w:rsidP="007B5C18">
      <w:pPr>
        <w:rPr>
          <w:rFonts w:cstheme="minorHAnsi"/>
          <w:b/>
          <w:i/>
          <w:szCs w:val="20"/>
        </w:rPr>
      </w:pPr>
    </w:p>
    <w:p w14:paraId="628E42D5" w14:textId="77777777" w:rsidR="00812144" w:rsidRDefault="00812144" w:rsidP="007B5C18">
      <w:pPr>
        <w:rPr>
          <w:rFonts w:cstheme="minorHAnsi"/>
          <w:b/>
          <w:i/>
          <w:szCs w:val="20"/>
        </w:rPr>
      </w:pPr>
    </w:p>
    <w:p w14:paraId="48D6F86D" w14:textId="77777777" w:rsidR="00812144" w:rsidRDefault="00812144" w:rsidP="007B5C18">
      <w:pPr>
        <w:rPr>
          <w:rFonts w:cstheme="minorHAnsi"/>
          <w:b/>
          <w:i/>
          <w:szCs w:val="20"/>
        </w:rPr>
      </w:pPr>
    </w:p>
    <w:p w14:paraId="272CB965" w14:textId="77777777" w:rsidR="007B5C18" w:rsidRDefault="007B5C18" w:rsidP="007B5C18">
      <w:pPr>
        <w:rPr>
          <w:rFonts w:cstheme="minorHAnsi"/>
          <w:b/>
          <w:i/>
          <w:szCs w:val="20"/>
        </w:rPr>
      </w:pPr>
      <w:r>
        <w:rPr>
          <w:rFonts w:cstheme="minorHAnsi"/>
          <w:b/>
          <w:i/>
          <w:szCs w:val="20"/>
        </w:rPr>
        <w:lastRenderedPageBreak/>
        <w:t>Tabella dei criteri discrezionali (D), quantitativi (Q) e tabellari (T) di valutazione dell’offerta tecnica</w:t>
      </w:r>
    </w:p>
    <w:tbl>
      <w:tblPr>
        <w:tblW w:w="10491"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11"/>
        <w:gridCol w:w="1395"/>
        <w:gridCol w:w="659"/>
        <w:gridCol w:w="789"/>
        <w:gridCol w:w="1592"/>
        <w:gridCol w:w="1217"/>
        <w:gridCol w:w="906"/>
        <w:gridCol w:w="1079"/>
        <w:gridCol w:w="1843"/>
      </w:tblGrid>
      <w:tr w:rsidR="00D9083E" w:rsidRPr="0003273B" w14:paraId="534DCFBC" w14:textId="184370AF" w:rsidTr="005860FD">
        <w:trPr>
          <w:trHeight w:val="300"/>
        </w:trPr>
        <w:tc>
          <w:tcPr>
            <w:tcW w:w="1011" w:type="dxa"/>
            <w:tcBorders>
              <w:top w:val="single" w:sz="6" w:space="0" w:color="auto"/>
              <w:left w:val="single" w:sz="6" w:space="0" w:color="auto"/>
              <w:bottom w:val="single" w:sz="6" w:space="0" w:color="auto"/>
              <w:right w:val="single" w:sz="6" w:space="0" w:color="auto"/>
            </w:tcBorders>
            <w:shd w:val="clear" w:color="auto" w:fill="D9D9D9"/>
            <w:hideMark/>
          </w:tcPr>
          <w:p w14:paraId="79D1290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lang w:eastAsia="it-IT"/>
              </w:rPr>
            </w:pPr>
            <w:r w:rsidRPr="0003273B">
              <w:rPr>
                <w:rStyle w:val="normaltextrun"/>
                <w:rFonts w:ascii="Calibri" w:hAnsi="Calibri" w:cs="Calibri"/>
                <w:smallCaps/>
                <w:sz w:val="20"/>
                <w:szCs w:val="20"/>
              </w:rPr>
              <w:t>N˚</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395" w:type="dxa"/>
            <w:tcBorders>
              <w:top w:val="single" w:sz="6" w:space="0" w:color="auto"/>
              <w:left w:val="single" w:sz="6" w:space="0" w:color="auto"/>
              <w:bottom w:val="single" w:sz="6" w:space="0" w:color="auto"/>
              <w:right w:val="single" w:sz="6" w:space="0" w:color="auto"/>
            </w:tcBorders>
            <w:shd w:val="clear" w:color="auto" w:fill="D9D9D9"/>
            <w:hideMark/>
          </w:tcPr>
          <w:p w14:paraId="68212EB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CRITERI DI VALUTAZIONE</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659" w:type="dxa"/>
            <w:tcBorders>
              <w:top w:val="single" w:sz="6" w:space="0" w:color="auto"/>
              <w:left w:val="single" w:sz="6" w:space="0" w:color="auto"/>
              <w:bottom w:val="single" w:sz="6" w:space="0" w:color="auto"/>
              <w:right w:val="single" w:sz="6" w:space="0" w:color="auto"/>
            </w:tcBorders>
            <w:shd w:val="clear" w:color="auto" w:fill="D9D9D9"/>
            <w:hideMark/>
          </w:tcPr>
          <w:p w14:paraId="5C091B1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PUNTI MAX</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D9D9D9"/>
            <w:hideMark/>
          </w:tcPr>
          <w:p w14:paraId="6460EC3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D9D9D9"/>
            <w:hideMark/>
          </w:tcPr>
          <w:p w14:paraId="7552CFE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SUB-CRITERI DI VALUTAZIONE</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D9D9D9"/>
            <w:hideMark/>
          </w:tcPr>
          <w:p w14:paraId="04FF77B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PUNTI D MAX</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D9D9D9"/>
            <w:hideMark/>
          </w:tcPr>
          <w:p w14:paraId="579F649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PUNTI Q MAX</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D9D9D9"/>
            <w:hideMark/>
          </w:tcPr>
          <w:p w14:paraId="18E2E3E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PUNTI T MAX</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D9D9D9"/>
          </w:tcPr>
          <w:p w14:paraId="6E469ACD" w14:textId="29363A96" w:rsidR="00D9083E" w:rsidRPr="0003273B" w:rsidRDefault="000308C5" w:rsidP="002D02DF">
            <w:pPr>
              <w:pStyle w:val="paragraph"/>
              <w:spacing w:before="0" w:beforeAutospacing="0" w:after="0" w:afterAutospacing="0"/>
              <w:jc w:val="center"/>
              <w:textAlignment w:val="baseline"/>
              <w:rPr>
                <w:rStyle w:val="normaltextrun"/>
                <w:rFonts w:ascii="Calibri" w:hAnsi="Calibri" w:cs="Calibri"/>
                <w:smallCaps/>
                <w:sz w:val="20"/>
                <w:szCs w:val="20"/>
              </w:rPr>
            </w:pPr>
            <w:r w:rsidRPr="0003273B">
              <w:rPr>
                <w:rFonts w:ascii="Calibri" w:hAnsi="Calibri" w:cs="Calibri"/>
                <w:smallCaps/>
                <w:sz w:val="20"/>
                <w:szCs w:val="20"/>
              </w:rPr>
              <w:t>migliorativo offerto dall’O.E.</w:t>
            </w:r>
          </w:p>
        </w:tc>
      </w:tr>
      <w:tr w:rsidR="00D9083E" w:rsidRPr="0003273B" w14:paraId="24652CBD" w14:textId="53060EC5" w:rsidTr="005860FD">
        <w:trPr>
          <w:trHeight w:val="300"/>
        </w:trPr>
        <w:tc>
          <w:tcPr>
            <w:tcW w:w="101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B274FB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mallCaps/>
                <w:sz w:val="20"/>
                <w:szCs w:val="20"/>
              </w:rPr>
              <w:t>1</w:t>
            </w: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3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E28FE7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Caratteristiche generali  </w:t>
            </w:r>
            <w:r w:rsidRPr="0003273B">
              <w:rPr>
                <w:rStyle w:val="eop"/>
                <w:rFonts w:ascii="Calibri" w:hAnsi="Calibri" w:cs="Calibri"/>
                <w:sz w:val="20"/>
                <w:szCs w:val="20"/>
              </w:rPr>
              <w:t> </w:t>
            </w:r>
          </w:p>
        </w:tc>
        <w:tc>
          <w:tcPr>
            <w:tcW w:w="65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5B6C18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50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F2ADE3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1.1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1A9AAD3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Accuratezza dello spostamento lungo la linea di vista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3AF4897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5249D28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751E3F0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0.5 mm punti 0; se &lt; 0.5 mm e ≥ 0.25 mm punti 2; se &lt; 0.25 mm e ≥ 0.1 mm punti 4; se &lt; 0.1 mm punti 6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2A71843E"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276DDB9" w14:textId="7FDBCEC7"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21ADC"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7D5FB6"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0CD9145"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494B013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1.2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D79C20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Accuratezza dello spostamento lungo la linea di vista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2315E28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19A060A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38A80FE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0.5 mm punti 0; se &lt; 0.5 mm e ≥ 0.25 mm punti 1; se &lt; 0.25 mm e ≥ 0.1 mm punti 2; se &lt; 0.1 mm punti 4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2E9893AB"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47B6422F" w14:textId="30E00F9A"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524BCA7"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662038"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1EEDE1C"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03CBA2E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1.3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363448E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Campo visivo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0EDCFA5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4E7BC4B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7D35E79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Piano orizzontale: se ≥ 75° e &lt; 80 ° punti 0; se ≥ 80 ° punti 3 </w:t>
            </w:r>
            <w:r w:rsidRPr="0003273B">
              <w:rPr>
                <w:rStyle w:val="eop"/>
                <w:rFonts w:ascii="Calibri" w:hAnsi="Calibri" w:cs="Calibri"/>
                <w:sz w:val="20"/>
                <w:szCs w:val="20"/>
              </w:rPr>
              <w:t> </w:t>
            </w:r>
          </w:p>
          <w:p w14:paraId="18032AA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p w14:paraId="4C893B5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Piano verticale: se ≥ 25° e &lt; 30 ° punti 0; se ≥ 30 ° punti 3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EC36701"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1225567" w14:textId="5704285B"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615ED27"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237B01D"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6BEBD4"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042ECB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1.4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427F60D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Risoluzioni spaziali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2BB34C2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187D86E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22AC323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color w:val="000000"/>
                <w:sz w:val="20"/>
                <w:szCs w:val="20"/>
              </w:rPr>
              <w:t>Range: se ≤ 1 m e &gt; 0.75 m punti 0; se ≤ 0.75 m punti 3  </w:t>
            </w:r>
            <w:r w:rsidRPr="0003273B">
              <w:rPr>
                <w:rStyle w:val="eop"/>
                <w:rFonts w:ascii="Calibri" w:hAnsi="Calibri" w:cs="Calibri"/>
                <w:color w:val="000000"/>
                <w:sz w:val="20"/>
                <w:szCs w:val="20"/>
              </w:rPr>
              <w:t> </w:t>
            </w:r>
          </w:p>
          <w:p w14:paraId="4310397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color w:val="000000"/>
                <w:sz w:val="20"/>
                <w:szCs w:val="20"/>
              </w:rPr>
              <w:t>  </w:t>
            </w:r>
            <w:r w:rsidRPr="0003273B">
              <w:rPr>
                <w:rStyle w:val="eop"/>
                <w:rFonts w:ascii="Calibri" w:hAnsi="Calibri" w:cs="Calibri"/>
                <w:color w:val="000000"/>
                <w:sz w:val="20"/>
                <w:szCs w:val="20"/>
              </w:rPr>
              <w:t> </w:t>
            </w:r>
          </w:p>
          <w:p w14:paraId="60791B8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color w:val="000000"/>
                <w:sz w:val="20"/>
                <w:szCs w:val="20"/>
              </w:rPr>
              <w:t xml:space="preserve">Cross range: se ≤ 5 mrad e &gt; 4.5 mrad punti 0; se ≤  </w:t>
            </w:r>
            <w:r w:rsidRPr="0003273B">
              <w:rPr>
                <w:rStyle w:val="normaltextrun"/>
                <w:rFonts w:ascii="Calibri" w:hAnsi="Calibri" w:cs="Calibri"/>
                <w:color w:val="000000"/>
                <w:sz w:val="20"/>
                <w:szCs w:val="20"/>
              </w:rPr>
              <w:lastRenderedPageBreak/>
              <w:t>4.5 mrad punti 3 </w:t>
            </w:r>
            <w:r w:rsidRPr="0003273B">
              <w:rPr>
                <w:rStyle w:val="eop"/>
                <w:rFonts w:ascii="Calibri" w:hAnsi="Calibri" w:cs="Calibri"/>
                <w:color w:val="000000"/>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558D056C"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color w:val="000000"/>
                <w:sz w:val="20"/>
                <w:szCs w:val="20"/>
              </w:rPr>
            </w:pPr>
          </w:p>
        </w:tc>
      </w:tr>
      <w:tr w:rsidR="00D9083E" w:rsidRPr="0003273B" w14:paraId="36F1DE46" w14:textId="166A3584"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D3302D8"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900FBAC"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5C3E234"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6C9D43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1.5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27DFD87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Risoluzione spaziale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5181135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5FCEF77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21F7B54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0.75 m e &gt; 0.5 m punti 0; se ≤  0.5 m punti 4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0393BC0F"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7048FEC1" w14:textId="397248BC"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E904D5"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16B64AD"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022015"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7C959A4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1.6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124D393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Range operativo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3797CFB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56085AD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1991251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0.5 km e &lt; 0.7 km punti 1; se ≥ 0.7 km e &lt; 1 Km punti 2; se ≥ 1 km punti 4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705D31A8"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43860E4" w14:textId="19E913B0"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6227AD"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F98F18A"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976FEDE"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151C6C48"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1.7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7E72D3A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Tempo di scansione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162DC0A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74446F3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006B020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45 sec e &gt; 40 sec punti 0; Se ≤ 40 sec e &gt; 35 sec punti 2; Se ≤ 35 sec e &gt; 30 sec punti 4; Se ≤ 30 sec punti 6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DA50282"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78904FE8" w14:textId="0F98C593"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1E9C8B9"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0C62189"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014910"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085CED8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1.8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701115E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Massima frequenza di acquisizione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5A823228"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4FCB107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3C432FD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100 Hz e &lt; 150 Hz punti 2; se ≥ 150 Hz e &lt; 200 Hz punti 4: se ≥ 200 Hz punti 6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72E04116"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1B9DFFBB" w14:textId="0B62218B"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3566593"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83A0A1"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8B60D5E"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3B2B909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1.9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1155ADB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Potenza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1EF72C2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0B660E7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6544CDF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100 W e &gt;  90 W punti 0; se ≤ 90 W punti 2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4EAD7709"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7D808EF6" w14:textId="4F3C16D3"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768669A"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34E83B"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7BDE172"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A7EAD3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1.10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8C8699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Autonomia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1B88297D"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51AC738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5FD8068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 4 h e &lt; 6 h  punti 1; se ≥ 6 h punti 2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4F447238"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439181E5" w14:textId="34F22081"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F96C9A"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C825E3"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7625C6C"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63803E6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1.11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49E5C9F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Grado di protezione (IP)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0F828B9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xml:space="preserve">Saranno valutati positivamente in maniera comparativa i sistemi che presentano la </w:t>
            </w:r>
            <w:r w:rsidRPr="0003273B">
              <w:rPr>
                <w:rStyle w:val="normaltextrun"/>
                <w:rFonts w:ascii="Calibri" w:hAnsi="Calibri" w:cs="Calibri"/>
                <w:sz w:val="20"/>
                <w:szCs w:val="20"/>
              </w:rPr>
              <w:lastRenderedPageBreak/>
              <w:t>certificazione non inferiore a IP54 (max punti 2)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1E32A8F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lastRenderedPageBreak/>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188864D8"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47D5C99B"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55588CF3" w14:textId="34ED9767" w:rsidTr="005860FD">
        <w:trPr>
          <w:trHeight w:val="300"/>
        </w:trPr>
        <w:tc>
          <w:tcPr>
            <w:tcW w:w="1011" w:type="dxa"/>
            <w:tcBorders>
              <w:top w:val="single" w:sz="6" w:space="0" w:color="auto"/>
              <w:left w:val="single" w:sz="6" w:space="0" w:color="auto"/>
              <w:bottom w:val="single" w:sz="6" w:space="0" w:color="auto"/>
              <w:right w:val="single" w:sz="6" w:space="0" w:color="auto"/>
            </w:tcBorders>
            <w:shd w:val="clear" w:color="auto" w:fill="auto"/>
            <w:hideMark/>
          </w:tcPr>
          <w:p w14:paraId="4030F65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395" w:type="dxa"/>
            <w:tcBorders>
              <w:top w:val="single" w:sz="6" w:space="0" w:color="auto"/>
              <w:left w:val="single" w:sz="6" w:space="0" w:color="auto"/>
              <w:bottom w:val="single" w:sz="6" w:space="0" w:color="auto"/>
              <w:right w:val="single" w:sz="6" w:space="0" w:color="auto"/>
            </w:tcBorders>
            <w:shd w:val="clear" w:color="auto" w:fill="auto"/>
            <w:hideMark/>
          </w:tcPr>
          <w:p w14:paraId="31678B1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659" w:type="dxa"/>
            <w:tcBorders>
              <w:top w:val="single" w:sz="6" w:space="0" w:color="auto"/>
              <w:left w:val="single" w:sz="6" w:space="0" w:color="auto"/>
              <w:bottom w:val="single" w:sz="6" w:space="0" w:color="auto"/>
              <w:right w:val="single" w:sz="6" w:space="0" w:color="auto"/>
            </w:tcBorders>
            <w:shd w:val="clear" w:color="auto" w:fill="auto"/>
            <w:hideMark/>
          </w:tcPr>
          <w:p w14:paraId="6C5024F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59A6B3E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1.12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6B508A2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Grado di protezione (IP)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0BD0967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Saranno valutati positivamente in maniera comparativa i sistemi che presentano la certificazione non inferiore a IP54 (max punti 2)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5C2A2CB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5902A3F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9D6266F"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76D4C55C" w14:textId="7DBA96C4" w:rsidTr="005860FD">
        <w:trPr>
          <w:trHeight w:val="300"/>
        </w:trPr>
        <w:tc>
          <w:tcPr>
            <w:tcW w:w="101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12420C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2 </w:t>
            </w:r>
            <w:r w:rsidRPr="0003273B">
              <w:rPr>
                <w:rStyle w:val="eop"/>
                <w:rFonts w:ascii="Calibri" w:hAnsi="Calibri" w:cs="Calibri"/>
                <w:sz w:val="20"/>
                <w:szCs w:val="20"/>
              </w:rPr>
              <w:t> </w:t>
            </w:r>
          </w:p>
        </w:tc>
        <w:tc>
          <w:tcPr>
            <w:tcW w:w="13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20ACF6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Modulo alimentatore e di acquisizione dati   </w:t>
            </w:r>
            <w:r w:rsidRPr="0003273B">
              <w:rPr>
                <w:rStyle w:val="eop"/>
                <w:rFonts w:ascii="Calibri" w:hAnsi="Calibri" w:cs="Calibri"/>
                <w:sz w:val="20"/>
                <w:szCs w:val="20"/>
              </w:rPr>
              <w:t> </w:t>
            </w:r>
          </w:p>
        </w:tc>
        <w:tc>
          <w:tcPr>
            <w:tcW w:w="65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3C3A37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10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53621E0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2.1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76262B8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Laptop (Valido per GB-SAR 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316012F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Qualsiasi miglioramento prestazionale rispetto ai requisiti minimi richiesti sarà valutato positivamente e in maniera comparativa fino ad un max di 2 punti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4DC34CA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5860060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7A36DC47"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75791385" w14:textId="417AFB76"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BA453CE"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A2FE991"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203073"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0CEF7E4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2.2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ACC1CB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Alimentazione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637792A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xml:space="preserve">Qualsiasi miglioramento prestazionale del modulo alimentatore rispetto ai requisiti minimi richiesti, con particolare attenzione rivolta alla maneggevolezza, trasportabilità, compattezza, peso, accessori, sarà </w:t>
            </w:r>
            <w:r w:rsidRPr="0003273B">
              <w:rPr>
                <w:rStyle w:val="normaltextrun"/>
                <w:rFonts w:ascii="Calibri" w:hAnsi="Calibri" w:cs="Calibri"/>
                <w:sz w:val="20"/>
                <w:szCs w:val="20"/>
              </w:rPr>
              <w:lastRenderedPageBreak/>
              <w:t>valutato positivamente e in maniera comparativa fino ad un max di 6 punti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7D4193D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lastRenderedPageBreak/>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57D0848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260DB3F6"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F42FDC7" w14:textId="0D3E9013" w:rsidTr="005860FD">
        <w:trPr>
          <w:trHeight w:val="300"/>
        </w:trPr>
        <w:tc>
          <w:tcPr>
            <w:tcW w:w="101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EC569"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81CCC"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6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574CE"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52EF39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2.3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1544430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Alimentazione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76CBFC1E"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rFonts w:ascii="Calibri" w:hAnsi="Calibri" w:cs="Calibri"/>
                <w:sz w:val="20"/>
                <w:szCs w:val="20"/>
              </w:rPr>
              <w:t>Qualsiasi miglioramento prestazionale del modulo alimentatore rispetto ai requisiti minimi richiesti, come la possibilità di alimentare il sistema con corrente alternata 110/220 Vac, sarà valutato positivamente e in maniera comparativa fino ad un max di 2 punti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0A93FAE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6A0DD220"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3429EBE4"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30982753" w14:textId="69D22B77" w:rsidTr="005860FD">
        <w:trPr>
          <w:trHeight w:val="300"/>
        </w:trPr>
        <w:tc>
          <w:tcPr>
            <w:tcW w:w="101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80E813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3 </w:t>
            </w:r>
            <w:r w:rsidRPr="0003273B">
              <w:rPr>
                <w:rStyle w:val="eop"/>
                <w:rFonts w:ascii="Calibri" w:hAnsi="Calibri" w:cs="Calibri"/>
                <w:sz w:val="20"/>
                <w:szCs w:val="20"/>
              </w:rPr>
              <w:t> </w:t>
            </w:r>
          </w:p>
        </w:tc>
        <w:tc>
          <w:tcPr>
            <w:tcW w:w="13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F7F6D6D"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Accessori  </w:t>
            </w:r>
            <w:r w:rsidRPr="0003273B">
              <w:rPr>
                <w:rStyle w:val="eop"/>
                <w:rFonts w:ascii="Calibri" w:hAnsi="Calibri" w:cs="Calibri"/>
                <w:sz w:val="20"/>
                <w:szCs w:val="20"/>
              </w:rPr>
              <w:t> </w:t>
            </w:r>
          </w:p>
        </w:tc>
        <w:tc>
          <w:tcPr>
            <w:tcW w:w="65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695B7A6"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10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68B35F5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3.1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445CF57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Antenna GPS (Valido per GB-SAR 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3D41381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0A12634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7E76DA0D"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GPS singolo per entrambi i sistemi punti 0; se dual GPS per uno dei due sistemi punti 1; se dual GPS per entrambi i sistemi punti 2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3EDA6646"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3BA75D31" w14:textId="778E0371" w:rsidTr="005860FD">
        <w:trPr>
          <w:trHeight w:val="333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2965B4"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2FA054"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9268C9D"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26ED0B3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3.2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6ED364C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Sistema di backup energetico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3ECE7B3D"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Qualsiasi miglioramento prestazionale del sistema rispetto ai requisiti minimi richiesti sarà valutato positivamente e in maniera comparativa fino ad un max di  punti 3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125AB5B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3CF91BA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E270595"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1502AD28" w14:textId="5C4424D3"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EAEF420"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8D82281"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6B06F27"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49A4FF2A"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3.3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9DDB97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Altri accessori GB-SAR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2A21B1F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Qualsiasi ulteriore accessorio rispetto ai requisiti minimi (inclinometro integrato, stazione meteo, camera diagnostica, kit di cavi e minuteria supplementare, ecc.)  sarà valutato positivamente e in maniera comparativa fino ad un max di 3 punti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69B574D2"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714F948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3D459ED9"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96339DE" w14:textId="3A2E2BBD" w:rsidTr="005860FD">
        <w:trPr>
          <w:trHeight w:val="300"/>
        </w:trPr>
        <w:tc>
          <w:tcPr>
            <w:tcW w:w="101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99965"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3E8491"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6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09674" w14:textId="77777777" w:rsidR="00D9083E" w:rsidRPr="0003273B" w:rsidRDefault="00D9083E" w:rsidP="002D02DF">
            <w:pPr>
              <w:pStyle w:val="paragraph"/>
              <w:spacing w:before="0" w:beforeAutospacing="0" w:after="0" w:afterAutospacing="0"/>
              <w:textAlignment w:val="baseline"/>
              <w:rPr>
                <w:rFonts w:ascii="Segoe UI" w:hAnsi="Segoe UI" w:cs="Segoe UI"/>
                <w:sz w:val="20"/>
                <w:szCs w:val="20"/>
              </w:rPr>
            </w:pPr>
            <w:r w:rsidRPr="0003273B">
              <w:rPr>
                <w:rStyle w:val="normaltextrun"/>
                <w:sz w:val="20"/>
                <w:szCs w:val="20"/>
              </w:rPr>
              <w:t> </w:t>
            </w:r>
            <w:r w:rsidRPr="0003273B">
              <w:rPr>
                <w:rStyle w:val="eop"/>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1C48A993"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3.4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2A9E202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Altri accessori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0F454BE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Qualsiasi ulteriore accessorio rispetto ai requisiti minimi (kit di cavi e minuteria supplementar</w:t>
            </w:r>
            <w:r w:rsidRPr="0003273B">
              <w:rPr>
                <w:rStyle w:val="normaltextrun"/>
                <w:rFonts w:ascii="Calibri" w:hAnsi="Calibri" w:cs="Calibri"/>
                <w:sz w:val="20"/>
                <w:szCs w:val="20"/>
              </w:rPr>
              <w:lastRenderedPageBreak/>
              <w:t>e, batterie supplementari, caricabatterie, trasformatore, ecc.)  sarà valutato positivamente e in maniera comparativa fino ad un max di 2 punti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707D5918"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lastRenderedPageBreak/>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13CFE3C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850D0F9"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7CEF4CE" w14:textId="1A00140E" w:rsidTr="005860FD">
        <w:trPr>
          <w:trHeight w:val="300"/>
        </w:trPr>
        <w:tc>
          <w:tcPr>
            <w:tcW w:w="101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EAFBFE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4 </w:t>
            </w:r>
            <w:r w:rsidRPr="0003273B">
              <w:rPr>
                <w:rStyle w:val="eop"/>
                <w:rFonts w:ascii="Calibri" w:hAnsi="Calibri" w:cs="Calibri"/>
                <w:sz w:val="20"/>
                <w:szCs w:val="20"/>
              </w:rPr>
              <w:t> </w:t>
            </w:r>
          </w:p>
        </w:tc>
        <w:tc>
          <w:tcPr>
            <w:tcW w:w="139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762F5D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Valutazione sulle capacità di assistenza tecnica dell’offerente </w:t>
            </w:r>
            <w:r w:rsidRPr="0003273B">
              <w:rPr>
                <w:rStyle w:val="eop"/>
                <w:rFonts w:ascii="Calibri" w:hAnsi="Calibri" w:cs="Calibri"/>
                <w:sz w:val="20"/>
                <w:szCs w:val="20"/>
              </w:rPr>
              <w:t> </w:t>
            </w:r>
          </w:p>
        </w:tc>
        <w:tc>
          <w:tcPr>
            <w:tcW w:w="65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A7DED8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10 </w:t>
            </w:r>
            <w:r w:rsidRPr="0003273B">
              <w:rPr>
                <w:rStyle w:val="eop"/>
                <w:rFonts w:ascii="Calibri" w:hAnsi="Calibri" w:cs="Calibri"/>
                <w:sz w:val="20"/>
                <w:szCs w:val="20"/>
              </w:rPr>
              <w:t> </w:t>
            </w: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5C0F401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4.1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01BAF7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Assistenza tecnica (Valido per GB-SAR 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5126552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469D572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1D24CCBB"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in Italia punti 4; se in UE punti 2; extra UE punti 0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100E1BE1"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231681AE" w14:textId="7C175D07"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99258A1"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E5EF182"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63B39C"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6AEE480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4.2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524E252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Garanzia ed estensione (Valido per GB-SAR 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1AF4700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2E7AD07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389BBB0C"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Estesnsione fino a 24 mesi punti 2; </w:t>
            </w:r>
            <w:r w:rsidRPr="0003273B">
              <w:rPr>
                <w:rStyle w:val="eop"/>
                <w:rFonts w:ascii="Calibri" w:hAnsi="Calibri" w:cs="Calibri"/>
                <w:sz w:val="20"/>
                <w:szCs w:val="20"/>
              </w:rPr>
              <w:t> </w:t>
            </w:r>
          </w:p>
          <w:p w14:paraId="49638B15"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estensione fino a 36 mesi punti  </w:t>
            </w:r>
            <w:r w:rsidRPr="0003273B">
              <w:rPr>
                <w:rStyle w:val="eop"/>
                <w:rFonts w:ascii="Calibri" w:hAnsi="Calibri" w:cs="Calibri"/>
                <w:sz w:val="20"/>
                <w:szCs w:val="20"/>
              </w:rPr>
              <w:t> </w:t>
            </w:r>
          </w:p>
          <w:p w14:paraId="0ADB88A9"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4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2758CCFB"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3F758D36" w14:textId="7CFFCC63" w:rsidTr="005860FD">
        <w:trPr>
          <w:trHeight w:val="300"/>
        </w:trPr>
        <w:tc>
          <w:tcPr>
            <w:tcW w:w="101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79B239" w14:textId="77777777" w:rsidR="00D9083E" w:rsidRPr="0003273B" w:rsidRDefault="00D9083E" w:rsidP="002D02DF">
            <w:pPr>
              <w:rPr>
                <w:rFonts w:ascii="Segoe UI" w:hAnsi="Segoe UI" w:cs="Segoe UI"/>
                <w:szCs w:val="20"/>
              </w:rPr>
            </w:pPr>
          </w:p>
        </w:tc>
        <w:tc>
          <w:tcPr>
            <w:tcW w:w="1395"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B70F86" w14:textId="77777777" w:rsidR="00D9083E" w:rsidRPr="0003273B" w:rsidRDefault="00D9083E" w:rsidP="002D02DF">
            <w:pPr>
              <w:rPr>
                <w:rFonts w:ascii="Segoe UI" w:hAnsi="Segoe UI" w:cs="Segoe UI"/>
                <w:szCs w:val="20"/>
              </w:rPr>
            </w:pPr>
          </w:p>
        </w:tc>
        <w:tc>
          <w:tcPr>
            <w:tcW w:w="65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DDB40DA" w14:textId="77777777" w:rsidR="00D9083E" w:rsidRPr="0003273B" w:rsidRDefault="00D9083E" w:rsidP="002D02DF">
            <w:pPr>
              <w:rPr>
                <w:rFonts w:ascii="Segoe UI" w:hAnsi="Segoe UI" w:cs="Segoe UI"/>
                <w:szCs w:val="20"/>
              </w:rPr>
            </w:pPr>
          </w:p>
        </w:tc>
        <w:tc>
          <w:tcPr>
            <w:tcW w:w="789" w:type="dxa"/>
            <w:tcBorders>
              <w:top w:val="single" w:sz="6" w:space="0" w:color="auto"/>
              <w:left w:val="single" w:sz="6" w:space="0" w:color="auto"/>
              <w:bottom w:val="single" w:sz="6" w:space="0" w:color="auto"/>
              <w:right w:val="single" w:sz="6" w:space="0" w:color="auto"/>
            </w:tcBorders>
            <w:shd w:val="clear" w:color="auto" w:fill="auto"/>
            <w:hideMark/>
          </w:tcPr>
          <w:p w14:paraId="7F53B55F"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4.3 </w:t>
            </w:r>
            <w:r w:rsidRPr="0003273B">
              <w:rPr>
                <w:rStyle w:val="eop"/>
                <w:rFonts w:ascii="Calibri" w:hAnsi="Calibri" w:cs="Calibri"/>
                <w:sz w:val="20"/>
                <w:szCs w:val="20"/>
              </w:rPr>
              <w:t> </w:t>
            </w:r>
          </w:p>
        </w:tc>
        <w:tc>
          <w:tcPr>
            <w:tcW w:w="1592" w:type="dxa"/>
            <w:tcBorders>
              <w:top w:val="single" w:sz="6" w:space="0" w:color="auto"/>
              <w:left w:val="single" w:sz="6" w:space="0" w:color="auto"/>
              <w:bottom w:val="single" w:sz="6" w:space="0" w:color="auto"/>
              <w:right w:val="single" w:sz="6" w:space="0" w:color="auto"/>
            </w:tcBorders>
            <w:shd w:val="clear" w:color="auto" w:fill="auto"/>
            <w:hideMark/>
          </w:tcPr>
          <w:p w14:paraId="4961F6F8"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Servizio di assistenza da remoto (Valido per GB-SAR e GB-RAR) </w:t>
            </w:r>
            <w:r w:rsidRPr="0003273B">
              <w:rPr>
                <w:rStyle w:val="eop"/>
                <w:rFonts w:ascii="Calibri" w:hAnsi="Calibri" w:cs="Calibri"/>
                <w:sz w:val="20"/>
                <w:szCs w:val="20"/>
              </w:rPr>
              <w:t> </w:t>
            </w:r>
          </w:p>
        </w:tc>
        <w:tc>
          <w:tcPr>
            <w:tcW w:w="1217" w:type="dxa"/>
            <w:tcBorders>
              <w:top w:val="single" w:sz="6" w:space="0" w:color="auto"/>
              <w:left w:val="single" w:sz="6" w:space="0" w:color="auto"/>
              <w:bottom w:val="single" w:sz="6" w:space="0" w:color="auto"/>
              <w:right w:val="single" w:sz="6" w:space="0" w:color="auto"/>
            </w:tcBorders>
            <w:shd w:val="clear" w:color="auto" w:fill="auto"/>
            <w:hideMark/>
          </w:tcPr>
          <w:p w14:paraId="4E4C72DE"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906" w:type="dxa"/>
            <w:tcBorders>
              <w:top w:val="single" w:sz="6" w:space="0" w:color="auto"/>
              <w:left w:val="single" w:sz="6" w:space="0" w:color="auto"/>
              <w:bottom w:val="single" w:sz="6" w:space="0" w:color="auto"/>
              <w:right w:val="single" w:sz="6" w:space="0" w:color="auto"/>
            </w:tcBorders>
            <w:shd w:val="clear" w:color="auto" w:fill="auto"/>
            <w:hideMark/>
          </w:tcPr>
          <w:p w14:paraId="65DF8244"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 </w:t>
            </w:r>
            <w:r w:rsidRPr="0003273B">
              <w:rPr>
                <w:rStyle w:val="eop"/>
                <w:rFonts w:ascii="Calibri" w:hAnsi="Calibri" w:cs="Calibri"/>
                <w:sz w:val="20"/>
                <w:szCs w:val="20"/>
              </w:rPr>
              <w:t> </w:t>
            </w:r>
          </w:p>
        </w:tc>
        <w:tc>
          <w:tcPr>
            <w:tcW w:w="1079" w:type="dxa"/>
            <w:tcBorders>
              <w:top w:val="single" w:sz="6" w:space="0" w:color="auto"/>
              <w:left w:val="single" w:sz="6" w:space="0" w:color="auto"/>
              <w:bottom w:val="single" w:sz="6" w:space="0" w:color="auto"/>
              <w:right w:val="single" w:sz="6" w:space="0" w:color="auto"/>
            </w:tcBorders>
            <w:shd w:val="clear" w:color="auto" w:fill="auto"/>
            <w:hideMark/>
          </w:tcPr>
          <w:p w14:paraId="4A955FD1"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Se il servizio viene offerto punti 2; </w:t>
            </w:r>
            <w:r w:rsidRPr="0003273B">
              <w:rPr>
                <w:rStyle w:val="eop"/>
                <w:rFonts w:ascii="Calibri" w:hAnsi="Calibri" w:cs="Calibri"/>
                <w:sz w:val="20"/>
                <w:szCs w:val="20"/>
              </w:rPr>
              <w:t> </w:t>
            </w:r>
          </w:p>
          <w:p w14:paraId="5F89AB17" w14:textId="77777777" w:rsidR="00D9083E" w:rsidRPr="0003273B" w:rsidRDefault="00D9083E" w:rsidP="002D02DF">
            <w:pPr>
              <w:pStyle w:val="paragraph"/>
              <w:spacing w:before="0" w:beforeAutospacing="0" w:after="0" w:afterAutospacing="0"/>
              <w:jc w:val="center"/>
              <w:textAlignment w:val="baseline"/>
              <w:rPr>
                <w:rFonts w:ascii="Segoe UI" w:hAnsi="Segoe UI" w:cs="Segoe UI"/>
                <w:sz w:val="20"/>
                <w:szCs w:val="20"/>
              </w:rPr>
            </w:pPr>
            <w:r w:rsidRPr="0003273B">
              <w:rPr>
                <w:rStyle w:val="normaltextrun"/>
                <w:rFonts w:ascii="Calibri" w:hAnsi="Calibri" w:cs="Calibri"/>
                <w:sz w:val="20"/>
                <w:szCs w:val="20"/>
              </w:rPr>
              <w:t>altrimenti punti 0 </w:t>
            </w:r>
            <w:r w:rsidRPr="0003273B">
              <w:rPr>
                <w:rStyle w:val="eop"/>
                <w:rFonts w:ascii="Calibri" w:hAnsi="Calibri" w:cs="Calibri"/>
                <w:sz w:val="20"/>
                <w:szCs w:val="20"/>
              </w:rPr>
              <w:t> </w:t>
            </w:r>
          </w:p>
        </w:tc>
        <w:tc>
          <w:tcPr>
            <w:tcW w:w="1843" w:type="dxa"/>
            <w:tcBorders>
              <w:top w:val="single" w:sz="6" w:space="0" w:color="auto"/>
              <w:left w:val="single" w:sz="6" w:space="0" w:color="auto"/>
              <w:bottom w:val="single" w:sz="6" w:space="0" w:color="auto"/>
              <w:right w:val="single" w:sz="6" w:space="0" w:color="auto"/>
            </w:tcBorders>
          </w:tcPr>
          <w:p w14:paraId="7C50DADC" w14:textId="77777777" w:rsidR="00D9083E" w:rsidRPr="0003273B" w:rsidRDefault="00D9083E" w:rsidP="002D02DF">
            <w:pPr>
              <w:pStyle w:val="paragraph"/>
              <w:spacing w:before="0" w:beforeAutospacing="0" w:after="0" w:afterAutospacing="0"/>
              <w:jc w:val="center"/>
              <w:textAlignment w:val="baseline"/>
              <w:rPr>
                <w:rStyle w:val="normaltextrun"/>
                <w:rFonts w:ascii="Calibri" w:hAnsi="Calibri" w:cs="Calibri"/>
                <w:sz w:val="20"/>
                <w:szCs w:val="20"/>
              </w:rPr>
            </w:pPr>
          </w:p>
        </w:tc>
      </w:tr>
      <w:tr w:rsidR="00D9083E" w:rsidRPr="0003273B" w14:paraId="1C8BFBEE" w14:textId="1CB1FF41" w:rsidTr="005860FD">
        <w:trPr>
          <w:trHeight w:val="300"/>
        </w:trPr>
        <w:tc>
          <w:tcPr>
            <w:tcW w:w="1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BB73420"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13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E576B7E" w14:textId="77777777" w:rsidR="00D9083E" w:rsidRPr="0003273B" w:rsidRDefault="00D9083E" w:rsidP="002D02DF">
            <w:pPr>
              <w:rPr>
                <w:rFonts w:ascii="Segoe UI" w:hAnsi="Segoe UI" w:cs="Segoe UI"/>
                <w:szCs w:val="20"/>
              </w:rPr>
            </w:pPr>
            <w:r w:rsidRPr="0003273B">
              <w:rPr>
                <w:rFonts w:ascii="Segoe UI" w:hAnsi="Segoe UI" w:cs="Segoe UI"/>
                <w:szCs w:val="20"/>
              </w:rPr>
              <w:t>Totale</w:t>
            </w:r>
          </w:p>
        </w:tc>
        <w:tc>
          <w:tcPr>
            <w:tcW w:w="6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C39FA2" w14:textId="77777777" w:rsidR="00D9083E" w:rsidRPr="0003273B" w:rsidRDefault="00D9083E" w:rsidP="002D02DF">
            <w:pPr>
              <w:rPr>
                <w:rFonts w:ascii="Segoe UI" w:hAnsi="Segoe UI" w:cs="Segoe UI"/>
                <w:b/>
                <w:bCs/>
                <w:szCs w:val="20"/>
              </w:rPr>
            </w:pPr>
            <w:r w:rsidRPr="0003273B">
              <w:rPr>
                <w:rFonts w:ascii="Segoe UI" w:hAnsi="Segoe UI" w:cs="Segoe UI"/>
                <w:b/>
                <w:bCs/>
                <w:szCs w:val="20"/>
              </w:rPr>
              <w:t>80</w:t>
            </w:r>
          </w:p>
        </w:tc>
        <w:tc>
          <w:tcPr>
            <w:tcW w:w="78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DCFE20B"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159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B1F91D1"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121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529E641"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9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373119A"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107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76E715"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9A16EF" w14:textId="77777777" w:rsidR="00D9083E" w:rsidRPr="0003273B" w:rsidRDefault="00D9083E" w:rsidP="002D02DF">
            <w:pPr>
              <w:pStyle w:val="paragraph"/>
              <w:spacing w:before="0" w:beforeAutospacing="0" w:after="0" w:afterAutospacing="0"/>
              <w:textAlignment w:val="baseline"/>
              <w:rPr>
                <w:rStyle w:val="normaltextrun"/>
                <w:rFonts w:ascii="Calibri" w:hAnsi="Calibri" w:cs="Calibri"/>
                <w:b/>
                <w:bCs/>
                <w:color w:val="000000"/>
                <w:sz w:val="20"/>
                <w:szCs w:val="20"/>
              </w:rPr>
            </w:pPr>
          </w:p>
        </w:tc>
      </w:tr>
    </w:tbl>
    <w:p w14:paraId="414C9122" w14:textId="77777777" w:rsidR="007B5C18" w:rsidRPr="0003273B" w:rsidRDefault="007B5C18" w:rsidP="007B5C18">
      <w:pPr>
        <w:spacing w:line="276" w:lineRule="auto"/>
        <w:rPr>
          <w:rFonts w:cstheme="minorHAnsi"/>
          <w:szCs w:val="20"/>
          <w:lang w:eastAsia="en-US"/>
        </w:rPr>
      </w:pPr>
    </w:p>
    <w:p w14:paraId="31689D9E" w14:textId="77777777" w:rsidR="007B5C18" w:rsidRPr="0003273B" w:rsidRDefault="007B5C18" w:rsidP="007B5C18">
      <w:pPr>
        <w:rPr>
          <w:rFonts w:cstheme="minorHAnsi"/>
          <w:szCs w:val="20"/>
        </w:rPr>
      </w:pPr>
    </w:p>
    <w:p w14:paraId="4F79D3D4" w14:textId="77777777" w:rsidR="000E07A0" w:rsidRPr="0003273B" w:rsidRDefault="000E07A0" w:rsidP="007F5082">
      <w:pPr>
        <w:rPr>
          <w:rFonts w:cstheme="minorHAnsi"/>
          <w:b/>
          <w:szCs w:val="20"/>
        </w:rPr>
      </w:pPr>
    </w:p>
    <w:p w14:paraId="5E1F55E9" w14:textId="77777777" w:rsidR="000E07A0" w:rsidRPr="0003273B" w:rsidRDefault="000E07A0" w:rsidP="007F5082">
      <w:pPr>
        <w:rPr>
          <w:rFonts w:cstheme="minorHAnsi"/>
          <w:b/>
          <w:szCs w:val="20"/>
        </w:rPr>
      </w:pPr>
    </w:p>
    <w:p w14:paraId="08229E3F" w14:textId="77777777" w:rsidR="000E07A0" w:rsidRPr="0003273B" w:rsidRDefault="000E07A0" w:rsidP="007F5082">
      <w:pPr>
        <w:rPr>
          <w:rFonts w:cstheme="minorHAnsi"/>
          <w:b/>
          <w:szCs w:val="20"/>
        </w:rPr>
      </w:pPr>
    </w:p>
    <w:p w14:paraId="0E54EED7" w14:textId="77777777" w:rsidR="000E07A0" w:rsidRDefault="000E07A0" w:rsidP="007F5082">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0E07A0">
      <w:headerReference w:type="default" r:id="rId11"/>
      <w:footerReference w:type="default" r:id="rId12"/>
      <w:pgSz w:w="11906" w:h="16838"/>
      <w:pgMar w:top="1718" w:right="1021" w:bottom="567" w:left="1021" w:header="11"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59C5A" w14:textId="77777777" w:rsidR="00F07C10" w:rsidRDefault="00F07C10" w:rsidP="00F91270">
      <w:r>
        <w:separator/>
      </w:r>
    </w:p>
  </w:endnote>
  <w:endnote w:type="continuationSeparator" w:id="0">
    <w:p w14:paraId="04F6DE74" w14:textId="77777777" w:rsidR="00F07C10" w:rsidRDefault="00F07C1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FAE73" w14:textId="77777777" w:rsidR="000E07A0" w:rsidRPr="000E07A0" w:rsidRDefault="000E07A0" w:rsidP="000E07A0">
    <w:pPr>
      <w:rPr>
        <w:rFonts w:ascii="Times New Roman" w:eastAsia="Times New Roman" w:hAnsi="Times New Roman"/>
        <w:noProof/>
        <w:sz w:val="24"/>
        <w:szCs w:val="24"/>
        <w:lang w:eastAsia="en-GB"/>
      </w:rPr>
    </w:pPr>
    <w:r w:rsidRPr="000E07A0">
      <w:rPr>
        <w:rFonts w:ascii="Kanit ExtraLight" w:eastAsia="Arial Unicode MS" w:hAnsi="Kanit ExtraLight" w:cs="Kanit ExtraLight"/>
        <w:noProof/>
        <w:kern w:val="1"/>
        <w:sz w:val="16"/>
        <w:lang w:eastAsia="en-US"/>
      </w:rPr>
      <w:drawing>
        <wp:anchor distT="0" distB="0" distL="114300" distR="114300" simplePos="0" relativeHeight="251664384" behindDoc="1" locked="0" layoutInCell="1" allowOverlap="1" wp14:anchorId="74251141" wp14:editId="5BF5D0F0">
          <wp:simplePos x="0" y="0"/>
          <wp:positionH relativeFrom="margin">
            <wp:align>left</wp:align>
          </wp:positionH>
          <wp:positionV relativeFrom="margin">
            <wp:posOffset>7432675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2630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0E07A0" w:rsidRPr="000E07A0" w14:paraId="64F3B2F3" w14:textId="77777777" w:rsidTr="003E11F3">
      <w:trPr>
        <w:cantSplit/>
        <w:trHeight w:val="1115"/>
      </w:trPr>
      <w:tc>
        <w:tcPr>
          <w:tcW w:w="3605" w:type="pct"/>
          <w:tcBorders>
            <w:right w:val="nil"/>
          </w:tcBorders>
          <w:shd w:val="clear" w:color="auto" w:fill="2A65B0"/>
          <w:tcMar>
            <w:left w:w="567" w:type="dxa"/>
            <w:right w:w="340" w:type="dxa"/>
          </w:tcMar>
          <w:vAlign w:val="center"/>
        </w:tcPr>
        <w:p w14:paraId="29B43D75" w14:textId="77777777" w:rsidR="000E07A0" w:rsidRPr="000E07A0" w:rsidRDefault="000E07A0" w:rsidP="000E07A0">
          <w:pPr>
            <w:rPr>
              <w:rFonts w:ascii="Titillium Web" w:eastAsia="Times New Roman" w:hAnsi="Titillium Web"/>
              <w:color w:val="FFFFFF"/>
              <w:sz w:val="16"/>
              <w:lang w:val="en-US" w:eastAsia="en-GB"/>
            </w:rPr>
          </w:pPr>
          <w:r w:rsidRPr="000E07A0">
            <w:rPr>
              <w:rFonts w:ascii="Titillium Web" w:eastAsia="Times New Roman" w:hAnsi="Titillium Web"/>
              <w:color w:val="FFFFFF"/>
              <w:sz w:val="16"/>
              <w:lang w:val="en-US" w:eastAsia="en-GB"/>
            </w:rPr>
            <w:t>IR0000032 – ITINERIS Italian Integrated Environmental Research Infrastructures System - CUP B53C22002150006</w:t>
          </w:r>
        </w:p>
        <w:p w14:paraId="02A67684" w14:textId="77777777" w:rsidR="000E07A0" w:rsidRPr="000E07A0" w:rsidRDefault="000E07A0" w:rsidP="000E07A0">
          <w:pPr>
            <w:rPr>
              <w:rFonts w:ascii="Titillium Web" w:eastAsia="Times New Roman" w:hAnsi="Titillium Web"/>
              <w:color w:val="FFFFFF"/>
              <w:sz w:val="16"/>
              <w:lang w:eastAsia="en-GB"/>
            </w:rPr>
          </w:pPr>
          <w:r w:rsidRPr="000E07A0">
            <w:rPr>
              <w:rFonts w:ascii="Titillium Web" w:eastAsia="Times New Roman" w:hAnsi="Titillium Web"/>
              <w:color w:val="FFFFFF"/>
              <w:sz w:val="16"/>
              <w:lang w:eastAsia="en-GB"/>
            </w:rPr>
            <w:t xml:space="preserve">Missione 4, “Istruzione e ricerca” - Componente 2, “Dalla ricerca all’impresa” </w:t>
          </w:r>
        </w:p>
        <w:p w14:paraId="471D6498" w14:textId="77777777" w:rsidR="000E07A0" w:rsidRPr="000E07A0" w:rsidRDefault="000E07A0" w:rsidP="000E07A0">
          <w:pPr>
            <w:rPr>
              <w:rFonts w:ascii="Titillium Web" w:eastAsia="Times New Roman" w:hAnsi="Titillium Web"/>
              <w:color w:val="FFFFFF"/>
              <w:sz w:val="16"/>
              <w:lang w:eastAsia="en-GB"/>
            </w:rPr>
          </w:pPr>
          <w:r w:rsidRPr="000E07A0">
            <w:rPr>
              <w:rFonts w:ascii="Titillium Web" w:eastAsia="Times New Roman" w:hAnsi="Titillium Web"/>
              <w:color w:val="FFFFFF"/>
              <w:sz w:val="16"/>
              <w:lang w:eastAsia="en-GB"/>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4DA8EF5D" w14:textId="77777777" w:rsidR="000E07A0" w:rsidRPr="000E07A0" w:rsidRDefault="000E07A0" w:rsidP="000E07A0">
          <w:pPr>
            <w:jc w:val="center"/>
            <w:rPr>
              <w:rFonts w:ascii="Titillium Web" w:eastAsia="Times New Roman" w:hAnsi="Titillium Web" w:cs="BkwnxrHelveticaLTCom"/>
              <w:bCs/>
              <w:i/>
              <w:color w:val="FFFF00"/>
              <w:sz w:val="16"/>
              <w:lang w:eastAsia="en-GB"/>
            </w:rPr>
          </w:pPr>
          <w:r w:rsidRPr="000E07A0">
            <w:rPr>
              <w:rFonts w:ascii="Titillium Web" w:eastAsia="Times New Roman" w:hAnsi="Titillium Web" w:cs="BkwnxrHelveticaLTCom"/>
              <w:b/>
              <w:bCs/>
              <w:noProof/>
              <w:color w:val="FFFFFF"/>
              <w:sz w:val="28"/>
              <w:szCs w:val="28"/>
              <w:lang w:val="en-US" w:eastAsia="en-GB"/>
            </w:rPr>
            <w:drawing>
              <wp:anchor distT="0" distB="0" distL="114300" distR="114300" simplePos="0" relativeHeight="251663360" behindDoc="0" locked="0" layoutInCell="1" allowOverlap="1" wp14:anchorId="1001A73A" wp14:editId="2A792128">
                <wp:simplePos x="0" y="0"/>
                <wp:positionH relativeFrom="margin">
                  <wp:posOffset>40640</wp:posOffset>
                </wp:positionH>
                <wp:positionV relativeFrom="margin">
                  <wp:posOffset>196850</wp:posOffset>
                </wp:positionV>
                <wp:extent cx="1336040" cy="258445"/>
                <wp:effectExtent l="0" t="0" r="0" b="0"/>
                <wp:wrapNone/>
                <wp:docPr id="35640314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9A599EF" w14:textId="77777777" w:rsidR="00E667EE" w:rsidRDefault="00E667EE" w:rsidP="000E07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EA4D3" w14:textId="77777777" w:rsidR="00F07C10" w:rsidRDefault="00F07C10" w:rsidP="00F91270">
      <w:r>
        <w:separator/>
      </w:r>
    </w:p>
  </w:footnote>
  <w:footnote w:type="continuationSeparator" w:id="0">
    <w:p w14:paraId="1E02EF60" w14:textId="77777777" w:rsidR="00F07C10" w:rsidRDefault="00F07C1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034ED44F" w14:textId="77777777" w:rsidR="00E667EE" w:rsidRDefault="00E667EE">
    <w:pPr>
      <w:pStyle w:val="Intestazione"/>
    </w:pPr>
  </w:p>
  <w:p w14:paraId="108B92E3" w14:textId="77777777" w:rsidR="00E667EE" w:rsidRDefault="00E667EE">
    <w:pPr>
      <w:pStyle w:val="Intestazione"/>
    </w:pPr>
  </w:p>
  <w:p w14:paraId="5EE9D2CC" w14:textId="77777777" w:rsidR="00E667EE" w:rsidRDefault="00E667EE">
    <w:pPr>
      <w:pStyle w:val="Intestazione"/>
    </w:pPr>
  </w:p>
  <w:p w14:paraId="416766B5" w14:textId="09231803" w:rsidR="00E667EE" w:rsidRDefault="00FD4D8B">
    <w:pPr>
      <w:pStyle w:val="Intestazione"/>
    </w:pPr>
    <w:r w:rsidRPr="005A6B28">
      <w:rPr>
        <w:rFonts w:ascii="Calibri" w:eastAsia="Arial Unicode MS" w:hAnsi="Calibri" w:cs="Calibri"/>
        <w:noProof/>
        <w:kern w:val="1"/>
        <w:sz w:val="22"/>
        <w:szCs w:val="22"/>
        <w:lang w:val="de-DE" w:eastAsia="en-US"/>
      </w:rPr>
      <w:drawing>
        <wp:anchor distT="0" distB="0" distL="114300" distR="114300" simplePos="0" relativeHeight="251661312" behindDoc="1" locked="0" layoutInCell="1" allowOverlap="1" wp14:anchorId="094B00A0" wp14:editId="00FDE72F">
          <wp:simplePos x="0" y="0"/>
          <wp:positionH relativeFrom="margin">
            <wp:posOffset>-354965</wp:posOffset>
          </wp:positionH>
          <wp:positionV relativeFrom="paragraph">
            <wp:posOffset>302895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113832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054F1FDD" w14:textId="77777777" w:rsidR="00E667EE" w:rsidRDefault="00E667E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08C5"/>
    <w:rsid w:val="0003273B"/>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07A0"/>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22B2"/>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BA8"/>
    <w:rsid w:val="00252D63"/>
    <w:rsid w:val="00257CAD"/>
    <w:rsid w:val="00261742"/>
    <w:rsid w:val="002671AD"/>
    <w:rsid w:val="00267CB6"/>
    <w:rsid w:val="00272242"/>
    <w:rsid w:val="002772A5"/>
    <w:rsid w:val="00286DA8"/>
    <w:rsid w:val="00290D18"/>
    <w:rsid w:val="00293B7F"/>
    <w:rsid w:val="00294429"/>
    <w:rsid w:val="00296A5A"/>
    <w:rsid w:val="002A3753"/>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5C84"/>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1E8"/>
    <w:rsid w:val="005624C4"/>
    <w:rsid w:val="00562C10"/>
    <w:rsid w:val="005648E0"/>
    <w:rsid w:val="00573DC0"/>
    <w:rsid w:val="00576761"/>
    <w:rsid w:val="00581AA0"/>
    <w:rsid w:val="00583C8C"/>
    <w:rsid w:val="00583CF9"/>
    <w:rsid w:val="005853C2"/>
    <w:rsid w:val="005860FD"/>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3F9C"/>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04451"/>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1761"/>
    <w:rsid w:val="007B2B52"/>
    <w:rsid w:val="007B3430"/>
    <w:rsid w:val="007B5C18"/>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2144"/>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2D61"/>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1E81"/>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C397D"/>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083E"/>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667EE"/>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07C1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D4D8B"/>
    <w:rsid w:val="00FD76C6"/>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7B5C18"/>
    <w:pPr>
      <w:spacing w:before="100" w:beforeAutospacing="1" w:after="100" w:afterAutospacing="1"/>
    </w:pPr>
    <w:rPr>
      <w:rFonts w:ascii="Times New Roman" w:eastAsia="Times New Roman" w:hAnsi="Times New Roman"/>
      <w:sz w:val="24"/>
      <w:szCs w:val="24"/>
      <w:lang w:eastAsia="en-GB"/>
    </w:rPr>
  </w:style>
  <w:style w:type="character" w:customStyle="1" w:styleId="normaltextrun">
    <w:name w:val="normaltextrun"/>
    <w:basedOn w:val="Carpredefinitoparagrafo"/>
    <w:rsid w:val="007B5C18"/>
  </w:style>
  <w:style w:type="character" w:customStyle="1" w:styleId="eop">
    <w:name w:val="eop"/>
    <w:basedOn w:val="Carpredefinitoparagrafo"/>
    <w:rsid w:val="007B5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1178</Words>
  <Characters>6717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22</cp:revision>
  <cp:lastPrinted>2017-10-24T09:03:00Z</cp:lastPrinted>
  <dcterms:created xsi:type="dcterms:W3CDTF">2024-02-07T10:19:00Z</dcterms:created>
  <dcterms:modified xsi:type="dcterms:W3CDTF">2024-10-28T11:10:00Z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