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4F365A9A" w14:textId="19E7B8FB" w:rsidR="00E95C9E" w:rsidRPr="0000218C" w:rsidRDefault="00B56D27" w:rsidP="0000218C">
      <w:pPr>
        <w:jc w:val="center"/>
        <w:rPr>
          <w:rFonts w:ascii="Century Gothic" w:hAnsi="Century Gothic" w:cs="Times New Roman"/>
          <w:b/>
        </w:rPr>
      </w:pPr>
      <w:r w:rsidRPr="007B5416">
        <w:rPr>
          <w:rFonts w:ascii="Century Gothic" w:hAnsi="Century Gothic" w:cs="Times New Roman"/>
          <w:b/>
        </w:rPr>
        <w:t>PATTO DI INTEGRITÀ</w:t>
      </w:r>
    </w:p>
    <w:p w14:paraId="39BD18AA" w14:textId="6D1326F2" w:rsidR="00B26DC8" w:rsidRPr="00B26DC8" w:rsidRDefault="00B56D27" w:rsidP="00B26DC8">
      <w:pPr>
        <w:autoSpaceDE w:val="0"/>
        <w:autoSpaceDN w:val="0"/>
        <w:adjustRightInd w:val="0"/>
        <w:jc w:val="both"/>
        <w:rPr>
          <w:rFonts w:ascii="Calibri" w:eastAsia="Times New Roman" w:hAnsi="Calibri" w:cs="Calibri"/>
          <w:b/>
          <w:sz w:val="20"/>
          <w:szCs w:val="20"/>
          <w:lang w:eastAsia="it-IT"/>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D50CD8">
        <w:rPr>
          <w:rFonts w:ascii="Century Gothic" w:hAnsi="Century Gothic"/>
        </w:rPr>
        <w:t xml:space="preserve">fornitura </w:t>
      </w:r>
      <w:bookmarkStart w:id="0" w:name="_Hlk141695407"/>
      <w:r w:rsidR="00B26DC8" w:rsidRPr="00B26DC8">
        <w:rPr>
          <w:rFonts w:ascii="Century Gothic" w:hAnsi="Century Gothic"/>
        </w:rPr>
        <w:t xml:space="preserve">DI SENSORI AD IMMAGINE IPERSPETTRALE (VNIR-SWIR) PER UTILIZZO A BORDO DI PIATTAFORME UAV E/O AEREO, SOFTWARE PER IL MANAGEMENT DEI DATI, SISTEMA NAVIGAZIONE ED ACCESSORI DI MONTAGGIO. COMPLIANT CON SENSORE LWIR (TASI-600) NELL’AMBITO DEL PIANO NAZIONALE RIPRESA E RESILIENZA (PNRR) MISSIONE 4 COMPONENTE 2 INVESTIMENTO 3.1 PROGETTO ITINERIS CUP B53C22002150006 - CIG </w:t>
      </w:r>
      <w:bookmarkEnd w:id="0"/>
      <w:r w:rsidR="00B26DC8" w:rsidRPr="00B26DC8">
        <w:rPr>
          <w:rFonts w:ascii="Century Gothic" w:hAnsi="Century Gothic"/>
        </w:rPr>
        <w:t>B258044570</w:t>
      </w:r>
    </w:p>
    <w:p w14:paraId="6C4FD21A" w14:textId="77777777"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40BCE77A" w:rsidR="00B56D27" w:rsidRPr="007B5416" w:rsidRDefault="00B26DC8" w:rsidP="00B56D27">
      <w:pPr>
        <w:jc w:val="both"/>
        <w:rPr>
          <w:rFonts w:ascii="Century Gothic" w:hAnsi="Century Gothic" w:cs="Times New Roman"/>
        </w:rPr>
      </w:pPr>
      <w:r>
        <w:rPr>
          <w:rFonts w:ascii="Century Gothic" w:hAnsi="Century Gothic"/>
        </w:rPr>
        <w:t>Istituto di Metodologie per l’Analisi Ambientale</w:t>
      </w:r>
      <w:r w:rsidR="00642F12">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Dott.ssa Gelsomina Pappalaerdo</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Consiglio di Amministrazione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w:t>
      </w:r>
      <w:r w:rsidR="006816B8" w:rsidRPr="007B5416">
        <w:rPr>
          <w:rFonts w:ascii="Century Gothic" w:hAnsi="Century Gothic" w:cs="Times New Roman"/>
        </w:rPr>
        <w:lastRenderedPageBreak/>
        <w:t xml:space="preserve">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segnalazione ricevuta in merito a condotte anomale, poste in essere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1A520" w14:textId="77777777" w:rsidR="0029137C" w:rsidRDefault="0029137C" w:rsidP="002B6EFC">
      <w:pPr>
        <w:spacing w:after="0" w:line="240" w:lineRule="auto"/>
      </w:pPr>
      <w:r>
        <w:separator/>
      </w:r>
    </w:p>
  </w:endnote>
  <w:endnote w:type="continuationSeparator" w:id="0">
    <w:p w14:paraId="70F7B3CA" w14:textId="77777777" w:rsidR="0029137C" w:rsidRDefault="0029137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5C6F8" w14:textId="77777777" w:rsidR="0029137C" w:rsidRDefault="0029137C" w:rsidP="002B6EFC">
      <w:pPr>
        <w:spacing w:after="0" w:line="240" w:lineRule="auto"/>
      </w:pPr>
      <w:r>
        <w:separator/>
      </w:r>
    </w:p>
  </w:footnote>
  <w:footnote w:type="continuationSeparator" w:id="0">
    <w:p w14:paraId="35EB091B" w14:textId="77777777" w:rsidR="0029137C" w:rsidRDefault="0029137C" w:rsidP="002B6E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0218C"/>
    <w:rsid w:val="000212CE"/>
    <w:rsid w:val="000300CD"/>
    <w:rsid w:val="000324F3"/>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A3A2D"/>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431209"/>
    <w:rsid w:val="004462E4"/>
    <w:rsid w:val="0046079A"/>
    <w:rsid w:val="00463F2F"/>
    <w:rsid w:val="00496853"/>
    <w:rsid w:val="004C6A31"/>
    <w:rsid w:val="004E0152"/>
    <w:rsid w:val="004E57C6"/>
    <w:rsid w:val="0050271E"/>
    <w:rsid w:val="00567750"/>
    <w:rsid w:val="005D7D44"/>
    <w:rsid w:val="005E52E9"/>
    <w:rsid w:val="00616C6B"/>
    <w:rsid w:val="00634571"/>
    <w:rsid w:val="006357D9"/>
    <w:rsid w:val="00642F12"/>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9055DE"/>
    <w:rsid w:val="00927303"/>
    <w:rsid w:val="009532CD"/>
    <w:rsid w:val="0095332D"/>
    <w:rsid w:val="00954732"/>
    <w:rsid w:val="009663E7"/>
    <w:rsid w:val="00980CF0"/>
    <w:rsid w:val="00994776"/>
    <w:rsid w:val="00994C1F"/>
    <w:rsid w:val="009A108A"/>
    <w:rsid w:val="009C76F1"/>
    <w:rsid w:val="00A34A19"/>
    <w:rsid w:val="00A34D3E"/>
    <w:rsid w:val="00A350D7"/>
    <w:rsid w:val="00A42AFB"/>
    <w:rsid w:val="00A47765"/>
    <w:rsid w:val="00A513D7"/>
    <w:rsid w:val="00A53699"/>
    <w:rsid w:val="00A54367"/>
    <w:rsid w:val="00A55AF7"/>
    <w:rsid w:val="00A578BB"/>
    <w:rsid w:val="00A649DB"/>
    <w:rsid w:val="00A66879"/>
    <w:rsid w:val="00A910D0"/>
    <w:rsid w:val="00AB2345"/>
    <w:rsid w:val="00AD1E96"/>
    <w:rsid w:val="00AD4FE5"/>
    <w:rsid w:val="00AE6E58"/>
    <w:rsid w:val="00AE7CC0"/>
    <w:rsid w:val="00AF11A3"/>
    <w:rsid w:val="00AF148D"/>
    <w:rsid w:val="00B01803"/>
    <w:rsid w:val="00B03A3A"/>
    <w:rsid w:val="00B15C6D"/>
    <w:rsid w:val="00B26DC8"/>
    <w:rsid w:val="00B5072B"/>
    <w:rsid w:val="00B56D27"/>
    <w:rsid w:val="00B952B7"/>
    <w:rsid w:val="00BA58BF"/>
    <w:rsid w:val="00BC35C3"/>
    <w:rsid w:val="00BD14BC"/>
    <w:rsid w:val="00BD2BFD"/>
    <w:rsid w:val="00BD73C9"/>
    <w:rsid w:val="00BF1E9F"/>
    <w:rsid w:val="00C048E3"/>
    <w:rsid w:val="00C100A3"/>
    <w:rsid w:val="00C141E6"/>
    <w:rsid w:val="00C82DFF"/>
    <w:rsid w:val="00C83199"/>
    <w:rsid w:val="00C95620"/>
    <w:rsid w:val="00D206E9"/>
    <w:rsid w:val="00D20F06"/>
    <w:rsid w:val="00D20FFC"/>
    <w:rsid w:val="00D4494C"/>
    <w:rsid w:val="00D50CD8"/>
    <w:rsid w:val="00D72E18"/>
    <w:rsid w:val="00D80E0E"/>
    <w:rsid w:val="00DA610E"/>
    <w:rsid w:val="00DD3323"/>
    <w:rsid w:val="00DD36E4"/>
    <w:rsid w:val="00DF6231"/>
    <w:rsid w:val="00E00139"/>
    <w:rsid w:val="00E016C5"/>
    <w:rsid w:val="00E32A63"/>
    <w:rsid w:val="00E413D0"/>
    <w:rsid w:val="00E533BD"/>
    <w:rsid w:val="00E54520"/>
    <w:rsid w:val="00E82D4D"/>
    <w:rsid w:val="00E95C9E"/>
    <w:rsid w:val="00EE04FE"/>
    <w:rsid w:val="00EE62F2"/>
    <w:rsid w:val="00EE7C02"/>
    <w:rsid w:val="00F07994"/>
    <w:rsid w:val="00F1437E"/>
    <w:rsid w:val="00F631CC"/>
    <w:rsid w:val="00F770C7"/>
    <w:rsid w:val="00F8103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53AEF4-41B0-4AB5-8E68-52D6C4FC5185}">
  <ds:schemaRefs>
    <ds:schemaRef ds:uri="http://schemas.microsoft.com/sharepoint/v3/contenttype/forms"/>
  </ds:schemaRefs>
</ds:datastoreItem>
</file>

<file path=customXml/itemProps3.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2153</Words>
  <Characters>12276</Characters>
  <Application>Microsoft Office Word</Application>
  <DocSecurity>0</DocSecurity>
  <Lines>102</Lines>
  <Paragraphs>28</Paragraphs>
  <ScaleCrop>false</ScaleCrop>
  <Company/>
  <LinksUpToDate>false</LinksUpToDate>
  <CharactersWithSpaces>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ANTONELLA GORGA</cp:lastModifiedBy>
  <cp:revision>55</cp:revision>
  <dcterms:created xsi:type="dcterms:W3CDTF">2022-05-17T15:47:00Z</dcterms:created>
  <dcterms:modified xsi:type="dcterms:W3CDTF">2024-10-17T10:56:00Z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