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C33E" w14:textId="09C3CD57" w:rsidR="00811B3C" w:rsidRPr="00E9224F" w:rsidRDefault="00F07B93" w:rsidP="00811B3C">
      <w:pPr>
        <w:spacing w:before="0" w:after="0" w:line="240" w:lineRule="auto"/>
        <w:jc w:val="left"/>
        <w:rPr>
          <w:rFonts w:ascii="Calibri" w:hAnsi="Calibri" w:cs="Calibri"/>
          <w:sz w:val="20"/>
          <w:szCs w:val="20"/>
        </w:rPr>
      </w:pPr>
      <w:bookmarkStart w:id="0" w:name="_Hlk112753106"/>
      <w:r>
        <w:rPr>
          <w:rFonts w:ascii="Calibri" w:hAnsi="Calibri" w:cs="Calibri"/>
          <w:sz w:val="20"/>
          <w:szCs w:val="20"/>
        </w:rPr>
        <w:t xml:space="preserve">“Scheda DNSH </w:t>
      </w:r>
      <w:r w:rsidR="000C6431">
        <w:rPr>
          <w:rFonts w:ascii="Calibri" w:hAnsi="Calibri" w:cs="Calibri"/>
          <w:sz w:val="20"/>
          <w:szCs w:val="20"/>
        </w:rPr>
        <w:t xml:space="preserve">n. </w:t>
      </w:r>
      <w:r>
        <w:rPr>
          <w:rFonts w:ascii="Calibri" w:hAnsi="Calibri" w:cs="Calibri"/>
          <w:sz w:val="20"/>
          <w:szCs w:val="20"/>
        </w:rPr>
        <w:t>3”</w:t>
      </w:r>
    </w:p>
    <w:p w14:paraId="0C05F36C" w14:textId="77777777" w:rsidR="00811B3C" w:rsidRPr="00A954F8" w:rsidRDefault="00811B3C" w:rsidP="00811B3C">
      <w:pPr>
        <w:spacing w:before="0" w:after="0" w:line="240" w:lineRule="auto"/>
        <w:jc w:val="left"/>
        <w:rPr>
          <w:rFonts w:ascii="Calibri" w:hAnsi="Calibri" w:cs="Calibri"/>
          <w:sz w:val="20"/>
          <w:szCs w:val="20"/>
        </w:rPr>
      </w:pPr>
    </w:p>
    <w:p w14:paraId="118DE1FD" w14:textId="77777777" w:rsidR="008522BD" w:rsidRPr="008522BD" w:rsidRDefault="008522BD" w:rsidP="008522BD">
      <w:pPr>
        <w:spacing w:before="0" w:after="0" w:line="240" w:lineRule="auto"/>
        <w:contextualSpacing/>
        <w:rPr>
          <w:rFonts w:ascii="Calibri" w:eastAsia="Calibri" w:hAnsi="Calibri" w:cs="Calibri"/>
          <w:caps/>
          <w:sz w:val="20"/>
          <w:szCs w:val="20"/>
        </w:rPr>
      </w:pPr>
      <w:r w:rsidRPr="008522BD">
        <w:rPr>
          <w:rFonts w:ascii="Calibri" w:eastAsia="Calibri" w:hAnsi="Calibri" w:cs="Calibri"/>
          <w:caps/>
          <w:sz w:val="20"/>
          <w:szCs w:val="20"/>
        </w:rPr>
        <w:t xml:space="preserve">PROCEDURA NEGOZIATA SOTTOSOGLIA SENZA PUBBLICAZIONE DI UN BANDO PER L’AFFIDAMENTO DELLA </w:t>
      </w:r>
      <w:r w:rsidRPr="008522BD">
        <w:rPr>
          <w:rFonts w:ascii="Calibri" w:eastAsia="Calibri" w:hAnsi="Calibri" w:cs="Calibri"/>
          <w:b/>
          <w:caps/>
          <w:sz w:val="20"/>
          <w:szCs w:val="20"/>
        </w:rPr>
        <w:t>FORNITURA DI UN UPGRADE DI ANALIZZATORE DI PARAMETRI ELETTRICI</w:t>
      </w:r>
      <w:r w:rsidRPr="008522BD">
        <w:rPr>
          <w:rFonts w:ascii="Calibri" w:eastAsia="Calibri" w:hAnsi="Calibri" w:cs="Calibri"/>
          <w:caps/>
          <w:sz w:val="20"/>
          <w:szCs w:val="20"/>
        </w:rPr>
        <w:t xml:space="preserve"> MEDIANTE PROCEDURA NEGOZIATA SENZA PREVIA PUBBLICAZIONE DEL BANDO DI GARA, NELL’AMBITO DEL PIANO NAZIONALE RIPRESA E RESILIENZA (PNRR) MISSIONE 4 COMPONENTE 2 INVESTIMENTO 3.1 PROGETTO iENTRANCE@ENL CUP B33C22000710006</w:t>
      </w:r>
    </w:p>
    <w:p w14:paraId="65BABFCA" w14:textId="0B2374B0" w:rsidR="00711CE8" w:rsidRDefault="00711CE8" w:rsidP="00811B3C">
      <w:pPr>
        <w:spacing w:before="0" w:after="0" w:line="240" w:lineRule="auto"/>
        <w:contextualSpacing/>
        <w:rPr>
          <w:rFonts w:ascii="Calibri" w:eastAsia="Calibri" w:hAnsi="Calibri" w:cs="Arial"/>
          <w:smallCaps/>
          <w:sz w:val="20"/>
          <w:szCs w:val="16"/>
          <w:bdr w:val="single" w:sz="4" w:space="0" w:color="auto"/>
        </w:rPr>
      </w:pPr>
    </w:p>
    <w:p w14:paraId="6A404C3E" w14:textId="77777777" w:rsidR="008522BD" w:rsidRPr="00811B3C" w:rsidRDefault="008522BD" w:rsidP="00811B3C">
      <w:pPr>
        <w:spacing w:before="0" w:after="0" w:line="240" w:lineRule="auto"/>
        <w:contextualSpacing/>
        <w:rPr>
          <w:rFonts w:ascii="Calibri" w:eastAsia="Calibri" w:hAnsi="Calibri" w:cs="Arial"/>
          <w:smallCaps/>
          <w:sz w:val="20"/>
          <w:szCs w:val="16"/>
          <w:bdr w:val="single" w:sz="4" w:space="0" w:color="auto"/>
        </w:rPr>
      </w:pP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 concorrente</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77777777"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8B70E4">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8B70E4">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8B70E4">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8B70E4">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8B70E4">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I prodotti elettronici acquistati sono dotati di un’etichetta ambientale di tipo I, secondo la UNI EN ISO 14024, ad esempio TCO Certified,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8B70E4">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8B70E4">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8B70E4">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8B70E4">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 che attesti che il consumo tipico di energia elettrica (Etec), calcolato per ogni dispositivo offerto, non superi il TEC massimo necessario (Etec-max)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8B70E4">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18D9E57E"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server e prodotti di archiviazioni dati, è disponibile la dichiarazione dei produttori/fornitori di conformità alla seguente normativa: ecodesign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8B70E4">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6229930A" w:rsidR="003B3C5E" w:rsidRPr="000E1298" w:rsidRDefault="006E3FB4"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8B70E4">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061D80F0" w:rsidR="003B3C5E" w:rsidRPr="000E1298" w:rsidRDefault="006E3FB4"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ISO 9001 e ISO 14001 / regolamento EMAS (certificazione di sistema di gestione disponibile sotto accreditamento – il campo di applicazione della certificazione dovrà riportare lo specifico scopo richiesto);</w:t>
            </w:r>
          </w:p>
          <w:p w14:paraId="3AAE82BE"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8B70E4">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43137F71" w:rsidR="003B3C5E" w:rsidRPr="000E1298" w:rsidRDefault="006E3FB4" w:rsidP="000E1298">
            <w:pPr>
              <w:jc w:val="center"/>
              <w:rPr>
                <w:rFonts w:ascii="Calibri" w:hAnsi="Calibri" w:cs="Calibri"/>
              </w:rPr>
            </w:pPr>
            <w:r w:rsidRPr="006E3FB4">
              <w:rPr>
                <w:rFonts w:ascii="Calibri" w:hAnsi="Calibri" w:cs="Calibri"/>
                <w:sz w:val="16"/>
                <w:szCs w:val="16"/>
              </w:rPr>
              <w:t>7</w:t>
            </w:r>
          </w:p>
        </w:tc>
        <w:tc>
          <w:tcPr>
            <w:tcW w:w="4693" w:type="dxa"/>
            <w:shd w:val="clear" w:color="auto" w:fill="auto"/>
          </w:tcPr>
          <w:p w14:paraId="5B26FECA" w14:textId="3E19039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produttore/fornitore di rispetto della seguente normativa: RoHS (Direttiva 2011/65/EU e s.m.i.); Compatibilità elettromagnetica (Direttiva 2014/30/UE e s.m.i.)?</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8B70E4">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03A92B0F"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8B70E4">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Alle apparecchiature per stampa, copia, multifunzione e servizi di Print&amp;Copy si applica un requisito trasversale</w:t>
            </w:r>
          </w:p>
        </w:tc>
      </w:tr>
      <w:tr w:rsidR="000E1298" w:rsidRPr="000E1298" w14:paraId="6994E374" w14:textId="77777777" w:rsidTr="008B70E4">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2612DAF8" w:rsidR="003B3C5E" w:rsidRPr="006E3FB4" w:rsidRDefault="006E3FB4" w:rsidP="000E1298">
            <w:pPr>
              <w:spacing w:before="0" w:after="0" w:line="240" w:lineRule="auto"/>
              <w:jc w:val="center"/>
              <w:rPr>
                <w:rFonts w:ascii="Calibri" w:hAnsi="Calibri" w:cs="Calibri"/>
                <w:sz w:val="16"/>
                <w:szCs w:val="16"/>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2" w:name="_Ref41906052"/>
      <w:r w:rsidRPr="000E1298">
        <w:rPr>
          <w:rFonts w:ascii="Calibri" w:eastAsia="Calibri" w:hAnsi="Calibri" w:cs="Calibri"/>
          <w:sz w:val="20"/>
          <w:vertAlign w:val="superscript"/>
        </w:rPr>
        <w:footnoteReference w:id="6"/>
      </w:r>
      <w:bookmarkEnd w:id="2"/>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305D52B5" w14:textId="7567A920" w:rsidR="004D016F" w:rsidRPr="004D016F" w:rsidRDefault="004D016F" w:rsidP="001061C1">
            <w:pPr>
              <w:spacing w:before="0" w:after="0" w:line="240" w:lineRule="auto"/>
              <w:rPr>
                <w:rFonts w:asciiTheme="minorHAnsi" w:hAnsiTheme="minorHAnsi" w:cstheme="minorHAnsi"/>
                <w:bCs/>
                <w:sz w:val="20"/>
                <w:szCs w:val="20"/>
                <w:u w:val="single"/>
              </w:rPr>
            </w:pPr>
            <w:r w:rsidRPr="004D016F">
              <w:rPr>
                <w:rFonts w:asciiTheme="minorHAnsi" w:hAnsiTheme="minorHAnsi" w:cstheme="minorHAnsi"/>
                <w:bCs/>
                <w:sz w:val="20"/>
                <w:szCs w:val="20"/>
                <w:u w:val="single"/>
              </w:rPr>
              <w:t>L'attività economica nella presente scheda non ha il potenziale di contribuire sostanzialmente alla mitigazione dei cambiamenti climatici. Pertanto, la presente scheda si applica sia alle misure in Regime 1 sia alle misure in Regime 2. Questo non comporta una modifica del Regime della misura indicato nella mappatura.</w:t>
            </w:r>
          </w:p>
          <w:p w14:paraId="3732F22F" w14:textId="77777777" w:rsidR="004D016F" w:rsidRDefault="004D016F"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Certified,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(Etec), calcolato per ogni dispositivo offerto, non superi il TEC massimo necessario (Etec-max)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lastRenderedPageBreak/>
              <w:t>Etichetta ambientale di tipo I, secondo la UNI EN ISO 14024, che verifichi l’allineamento con il principio di non arrecare danno significativo all’economia circolare (es: EPEAT, Blauer Engel, TCO Certified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server e prodotti di archiviazioni dati, dichiarazione dei produttori/fornitori di conformità alla seguente normativa: ecodesign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Etichetta ambientale di tipo I, secondo la UNI EN ISO 14024, che verifichi l’allineamento con il principio di non arrecare danno significativo alla prevenzione e riduzione dell’inquinamento (es: EPEAT, Blauer Engel, TCO Certified,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La conformità delle apparecchiature è verificata tramite una dichiarazione del produttore/fornitore di rispetto della seguente normativa: REACH (Regolamento (CE) n.1907/2006); RoHS (Direttiva</w:t>
            </w:r>
            <w:r>
              <w:rPr>
                <w:rFonts w:asciiTheme="minorHAnsi" w:hAnsiTheme="minorHAnsi" w:cstheme="minorHAnsi"/>
                <w:sz w:val="20"/>
                <w:szCs w:val="20"/>
              </w:rPr>
              <w:t xml:space="preserve"> 2011/65/EU e s</w:t>
            </w:r>
            <w:r w:rsidRPr="00EA192E">
              <w:rPr>
                <w:rFonts w:asciiTheme="minorHAnsi" w:hAnsiTheme="minorHAnsi" w:cstheme="minorHAnsi"/>
                <w:sz w:val="20"/>
                <w:szCs w:val="20"/>
              </w:rPr>
              <w:t>.m.i.); Compatibilità elettromagn</w:t>
            </w:r>
            <w:r>
              <w:rPr>
                <w:rFonts w:asciiTheme="minorHAnsi" w:hAnsiTheme="minorHAnsi" w:cstheme="minorHAnsi"/>
                <w:sz w:val="20"/>
                <w:szCs w:val="20"/>
              </w:rPr>
              <w:t>etica (Direttiva 2014/30/UE e s</w:t>
            </w:r>
            <w:r w:rsidRPr="00EA192E">
              <w:rPr>
                <w:rFonts w:asciiTheme="minorHAnsi" w:hAnsiTheme="minorHAnsi" w:cstheme="minorHAnsi"/>
                <w:sz w:val="20"/>
                <w:szCs w:val="20"/>
              </w:rPr>
              <w:t>.m.i.)</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7E5D5E">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8E1DF" w14:textId="77777777" w:rsidR="009923B8" w:rsidRDefault="009923B8">
      <w:r>
        <w:separator/>
      </w:r>
    </w:p>
  </w:endnote>
  <w:endnote w:type="continuationSeparator" w:id="0">
    <w:p w14:paraId="77179154" w14:textId="77777777" w:rsidR="009923B8" w:rsidRDefault="0099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95DC" w14:textId="77777777" w:rsidR="00F0101A" w:rsidRDefault="00F0101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010" w14:textId="77777777" w:rsidR="00BE3DBC" w:rsidRDefault="00BE3DBC" w:rsidP="006454B6">
    <w:pPr>
      <w:pStyle w:val="Pidipagina"/>
      <w:spacing w:before="0" w:after="0" w:line="240" w:lineRule="auto"/>
      <w:jc w:val="right"/>
    </w:pPr>
  </w:p>
  <w:p w14:paraId="1097EF67" w14:textId="37D0CE74" w:rsidR="00BE3DBC" w:rsidRPr="00E647BB" w:rsidRDefault="00F0101A" w:rsidP="00C37A76">
    <w:pPr>
      <w:pStyle w:val="Pidipagina"/>
      <w:spacing w:before="0" w:after="0" w:line="240" w:lineRule="auto"/>
    </w:pPr>
    <w:r>
      <w:rPr>
        <w:noProof/>
      </w:rPr>
      <w:drawing>
        <wp:inline distT="0" distB="0" distL="0" distR="0" wp14:anchorId="608CF9ED" wp14:editId="1B5CE55F">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7314" w14:textId="77777777" w:rsidR="00F0101A" w:rsidRDefault="00F0101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437BA" w14:textId="77777777" w:rsidR="009923B8" w:rsidRDefault="009923B8">
      <w:r>
        <w:separator/>
      </w:r>
    </w:p>
  </w:footnote>
  <w:footnote w:type="continuationSeparator" w:id="0">
    <w:p w14:paraId="2C1E5F99" w14:textId="77777777" w:rsidR="009923B8" w:rsidRDefault="009923B8">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 xml:space="preserve">L'attività in questione non è compresa tra le attività facenti parte della Tassonomia delle attività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r w:rsidR="004164E2">
        <w:rPr>
          <w:rFonts w:ascii="Calibri" w:hAnsi="Calibri" w:cs="Calibri"/>
          <w:sz w:val="13"/>
          <w:szCs w:val="13"/>
        </w:rPr>
        <w:t xml:space="preserve">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Lgs.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D166" w14:textId="77777777" w:rsidR="00F0101A" w:rsidRDefault="00F0101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F737" w14:textId="1B35C7AB" w:rsidR="00BE3DBC" w:rsidRDefault="007E5D5E" w:rsidP="00E647BB">
    <w:pPr>
      <w:pStyle w:val="Intestazione"/>
      <w:tabs>
        <w:tab w:val="clear" w:pos="4819"/>
        <w:tab w:val="clear" w:pos="9638"/>
      </w:tabs>
      <w:jc w:val="left"/>
    </w:pPr>
    <w:r>
      <w:rPr>
        <w:noProof/>
      </w:rPr>
      <w:drawing>
        <wp:anchor distT="0" distB="0" distL="114300" distR="114300" simplePos="0" relativeHeight="251659264" behindDoc="1" locked="0" layoutInCell="1" allowOverlap="1" wp14:anchorId="7939BB37" wp14:editId="399C6450">
          <wp:simplePos x="0" y="0"/>
          <wp:positionH relativeFrom="column">
            <wp:posOffset>-721360</wp:posOffset>
          </wp:positionH>
          <wp:positionV relativeFrom="paragraph">
            <wp:posOffset>-446828</wp:posOffset>
          </wp:positionV>
          <wp:extent cx="7560000" cy="1083600"/>
          <wp:effectExtent l="0" t="0" r="3175" b="2540"/>
          <wp:wrapNone/>
          <wp:docPr id="1410796937" name="Immagine 141079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BDAD7" w14:textId="77777777" w:rsidR="00BE3DBC" w:rsidRPr="00BC388F" w:rsidRDefault="00BE3DBC" w:rsidP="00E647BB">
    <w:pPr>
      <w:pStyle w:val="Intestazione"/>
      <w:tabs>
        <w:tab w:val="clear" w:pos="4819"/>
        <w:tab w:val="clear" w:pos="9638"/>
      </w:tabs>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651577334" name="Immagine 651577334"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13"/>
  </w:num>
  <w:num w:numId="6">
    <w:abstractNumId w:val="11"/>
  </w:num>
  <w:num w:numId="7">
    <w:abstractNumId w:val="8"/>
  </w:num>
  <w:num w:numId="8">
    <w:abstractNumId w:val="5"/>
  </w:num>
  <w:num w:numId="9">
    <w:abstractNumId w:val="1"/>
  </w:num>
  <w:num w:numId="10">
    <w:abstractNumId w:val="3"/>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41E"/>
    <w:rsid w:val="000568BF"/>
    <w:rsid w:val="00056982"/>
    <w:rsid w:val="00057144"/>
    <w:rsid w:val="0005734E"/>
    <w:rsid w:val="0006159B"/>
    <w:rsid w:val="00063339"/>
    <w:rsid w:val="000642AC"/>
    <w:rsid w:val="00064514"/>
    <w:rsid w:val="00070432"/>
    <w:rsid w:val="0007055D"/>
    <w:rsid w:val="000713B8"/>
    <w:rsid w:val="00071D5F"/>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1D21"/>
    <w:rsid w:val="00253343"/>
    <w:rsid w:val="00253F01"/>
    <w:rsid w:val="00254F91"/>
    <w:rsid w:val="0025588D"/>
    <w:rsid w:val="002559AF"/>
    <w:rsid w:val="00256A68"/>
    <w:rsid w:val="00260C50"/>
    <w:rsid w:val="00260EC8"/>
    <w:rsid w:val="0026498A"/>
    <w:rsid w:val="00266BCB"/>
    <w:rsid w:val="00267F3A"/>
    <w:rsid w:val="00270721"/>
    <w:rsid w:val="00270E33"/>
    <w:rsid w:val="00271079"/>
    <w:rsid w:val="00271E81"/>
    <w:rsid w:val="002721F4"/>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1EF3"/>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4D48"/>
    <w:rsid w:val="00455142"/>
    <w:rsid w:val="00455FD0"/>
    <w:rsid w:val="004564C3"/>
    <w:rsid w:val="00457D69"/>
    <w:rsid w:val="004607DD"/>
    <w:rsid w:val="0046179C"/>
    <w:rsid w:val="00462A14"/>
    <w:rsid w:val="004635A0"/>
    <w:rsid w:val="00463C35"/>
    <w:rsid w:val="00463F58"/>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16F"/>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2BD"/>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5FE6"/>
    <w:rsid w:val="009762E1"/>
    <w:rsid w:val="009766C9"/>
    <w:rsid w:val="00976E99"/>
    <w:rsid w:val="00982F31"/>
    <w:rsid w:val="00983DE2"/>
    <w:rsid w:val="009848A4"/>
    <w:rsid w:val="00986299"/>
    <w:rsid w:val="009862EE"/>
    <w:rsid w:val="00986D7E"/>
    <w:rsid w:val="0098780A"/>
    <w:rsid w:val="00992256"/>
    <w:rsid w:val="009923B8"/>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A60"/>
    <w:rsid w:val="009E2139"/>
    <w:rsid w:val="009E28D2"/>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3565"/>
    <w:rsid w:val="00A940A7"/>
    <w:rsid w:val="00A9424A"/>
    <w:rsid w:val="00A952BC"/>
    <w:rsid w:val="00A954F8"/>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202"/>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01A"/>
    <w:rsid w:val="00F01C3E"/>
    <w:rsid w:val="00F02732"/>
    <w:rsid w:val="00F02809"/>
    <w:rsid w:val="00F02A53"/>
    <w:rsid w:val="00F0348D"/>
    <w:rsid w:val="00F06892"/>
    <w:rsid w:val="00F06EDB"/>
    <w:rsid w:val="00F07B93"/>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654914221">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A65C-D011-4A1D-A963-4C16A015A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3.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4.xml><?xml version="1.0" encoding="utf-8"?>
<ds:datastoreItem xmlns:ds="http://schemas.openxmlformats.org/officeDocument/2006/customXml" ds:itemID="{24F03004-06EA-4838-9813-FD0B1AE4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8200</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nferrara</cp:lastModifiedBy>
  <cp:revision>29</cp:revision>
  <cp:lastPrinted>2023-05-17T10:53:00Z</cp:lastPrinted>
  <dcterms:created xsi:type="dcterms:W3CDTF">2023-06-14T12:55:00Z</dcterms:created>
  <dcterms:modified xsi:type="dcterms:W3CDTF">2024-11-14T06:45:00Z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