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926C5" w14:textId="77777777" w:rsidR="006726E5" w:rsidRDefault="006726E5" w:rsidP="00C542BA">
      <w:pPr>
        <w:jc w:val="both"/>
        <w:rPr>
          <w:rFonts w:ascii="Courier New" w:hAnsi="Courier New" w:cs="Courier New"/>
          <w:b/>
          <w:bCs/>
        </w:rPr>
      </w:pPr>
    </w:p>
    <w:p w14:paraId="6304B512" w14:textId="77777777" w:rsidR="00AA4E63" w:rsidRDefault="00AA4E63" w:rsidP="00C542BA">
      <w:pPr>
        <w:jc w:val="both"/>
        <w:rPr>
          <w:rFonts w:ascii="Courier New" w:hAnsi="Courier New" w:cs="Courier New"/>
          <w:b/>
          <w:bCs/>
        </w:rPr>
      </w:pPr>
    </w:p>
    <w:p w14:paraId="68BDE596" w14:textId="62FB7001" w:rsidR="00C542BA" w:rsidRPr="00C542BA" w:rsidRDefault="00C542BA" w:rsidP="00C542BA">
      <w:pPr>
        <w:jc w:val="both"/>
        <w:rPr>
          <w:rFonts w:ascii="Courier New" w:hAnsi="Courier New" w:cs="Courier New"/>
          <w:b/>
          <w:bCs/>
        </w:rPr>
      </w:pPr>
      <w:r w:rsidRPr="00C542BA">
        <w:rPr>
          <w:rFonts w:ascii="Courier New" w:hAnsi="Courier New" w:cs="Courier New"/>
          <w:b/>
          <w:bCs/>
        </w:rPr>
        <w:t>CONTRATTO PER L’AFFIDAMENTO DELLA FORNITURA/SERVIZI DI [COMPLETARE] NELL’AMBITO DEL PIANO NAZIONALE RIPRESA E RESILIENZA (PNRR) MISSIONE [COMPLETARE] COMPONENTE [COMPLETARE] INVESTIMENTO [COMPLETARE] PROGETTO [ACRONIMO] CUP [COMPLETARE]. LOTTO NR. _______ CIG [COMPLETARE]</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77777777" w:rsidR="00C542BA" w:rsidRPr="00C542BA" w:rsidRDefault="00C542BA" w:rsidP="00C542BA">
      <w:pPr>
        <w:jc w:val="both"/>
        <w:rPr>
          <w:rFonts w:ascii="Courier New" w:hAnsi="Courier New" w:cs="Courier New"/>
        </w:rPr>
      </w:pPr>
      <w:r w:rsidRPr="00C542BA">
        <w:rPr>
          <w:rFonts w:ascii="Courier New" w:hAnsi="Courier New" w:cs="Courier New"/>
        </w:rPr>
        <w:t>L’Istituto [COMPLETARE]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w:t>
      </w:r>
      <w:r w:rsidRPr="00C542BA">
        <w:rPr>
          <w:rFonts w:ascii="Courier New" w:hAnsi="Courier New" w:cs="Courier New"/>
        </w:rPr>
        <w:lastRenderedPageBreak/>
        <w:t xml:space="preserve">[COMPLETARE],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2)Il Responsabile Unico del Progetto con atto istruttorio Prot. [COMPLETARE]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w:t>
      </w:r>
      <w:proofErr w:type="gramStart"/>
      <w:r w:rsidRPr="00C542BA">
        <w:rPr>
          <w:rFonts w:ascii="Courier New" w:hAnsi="Courier New" w:cs="Courier New"/>
        </w:rPr>
        <w:t>nr._</w:t>
      </w:r>
      <w:proofErr w:type="gramEnd"/>
      <w:r w:rsidRPr="00C542BA">
        <w:rPr>
          <w:rFonts w:ascii="Courier New" w:hAnsi="Courier New" w:cs="Courier New"/>
        </w:rPr>
        <w:t xml:space="preserve">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w:t>
      </w:r>
      <w:r w:rsidRPr="00C542BA">
        <w:rPr>
          <w:rFonts w:ascii="Courier New" w:hAnsi="Courier New" w:cs="Courier New"/>
        </w:rPr>
        <w:lastRenderedPageBreak/>
        <w:t>(euro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proofErr w:type="gramStart"/>
      <w:r w:rsidRPr="00C542BA">
        <w:rPr>
          <w:rFonts w:ascii="Courier New" w:hAnsi="Courier New" w:cs="Courier New"/>
        </w:rPr>
        <w:t>a)Servizi</w:t>
      </w:r>
      <w:proofErr w:type="gramEnd"/>
      <w:r w:rsidRPr="00C542BA">
        <w:rPr>
          <w:rFonts w:ascii="Courier New" w:hAnsi="Courier New" w:cs="Courier New"/>
        </w:rPr>
        <w:t xml:space="preserve"> [COMPLETARE]</w:t>
      </w:r>
    </w:p>
    <w:p w14:paraId="03F0AB70" w14:textId="77777777" w:rsidR="00C542BA" w:rsidRPr="00C542BA" w:rsidRDefault="00C542BA" w:rsidP="00C542BA">
      <w:pPr>
        <w:pStyle w:val="ListParagraph"/>
        <w:ind w:left="0"/>
        <w:jc w:val="both"/>
        <w:rPr>
          <w:rFonts w:ascii="Courier New" w:hAnsi="Courier New" w:cs="Courier New"/>
        </w:rPr>
      </w:pPr>
      <w:proofErr w:type="gramStart"/>
      <w:r w:rsidRPr="00C542BA">
        <w:rPr>
          <w:rFonts w:ascii="Courier New" w:hAnsi="Courier New" w:cs="Courier New"/>
        </w:rPr>
        <w:t>b)Fornitura</w:t>
      </w:r>
      <w:proofErr w:type="gramEnd"/>
      <w:r w:rsidRPr="00C542BA">
        <w:rPr>
          <w:rFonts w:ascii="Courier New" w:hAnsi="Courier New" w:cs="Courier New"/>
        </w:rPr>
        <w:t xml:space="preserve"> ed installazione [COMPLETARE]</w:t>
      </w:r>
    </w:p>
    <w:p w14:paraId="42EDA0B5"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lastRenderedPageBreak/>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4F36693E"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00FD44F8">
        <w:rPr>
          <w:rFonts w:ascii="Courier New" w:hAnsi="Courier New" w:cs="Courier New"/>
        </w:rPr>
        <w:t xml:space="preserve"> per le parti applicabili</w:t>
      </w:r>
      <w:r w:rsidRPr="00C542BA">
        <w:rPr>
          <w:rFonts w:ascii="Courier New" w:hAnsi="Courier New" w:cs="Courier New"/>
        </w:rPr>
        <w:t>;</w:t>
      </w:r>
    </w:p>
    <w:p w14:paraId="1B45B871"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33F60121" w:rsidR="000711B4" w:rsidRPr="001C5FC0" w:rsidRDefault="000711B4" w:rsidP="008F109A">
      <w:pPr>
        <w:pStyle w:val="ListParagraph"/>
        <w:adjustRightInd w:val="0"/>
        <w:snapToGrid w:val="0"/>
        <w:ind w:left="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1)Sono a carico del Contraente, intendendosi remunerati con l’importo contrattuale, tutti gli oneri e rischi relativi alle </w:t>
      </w:r>
      <w:r w:rsidRPr="00C542BA">
        <w:rPr>
          <w:rFonts w:ascii="Courier New" w:hAnsi="Courier New" w:cs="Courier New"/>
        </w:rPr>
        <w:lastRenderedPageBreak/>
        <w:t>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Heading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 xml:space="preserve">cento) dell’importo contrattuale. Il Contraente prende atto, in ogni caso, che l’applicazione delle penali non preclude il diritto dell’Ente a richiedere il </w:t>
      </w:r>
      <w:r w:rsidRPr="00C542BA">
        <w:rPr>
          <w:rFonts w:ascii="Courier New" w:hAnsi="Courier New" w:cs="Courier New"/>
        </w:rPr>
        <w:lastRenderedPageBreak/>
        <w:t>risarcimento degli eventuali maggiori danni patiti.</w:t>
      </w:r>
    </w:p>
    <w:p w14:paraId="4775D341"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ListParagraph"/>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w:t>
      </w:r>
      <w:r>
        <w:rPr>
          <w:rFonts w:ascii="Courier New" w:hAnsi="Courier New" w:cs="Courier New"/>
        </w:rPr>
        <w:lastRenderedPageBreak/>
        <w:t xml:space="preserve">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54ADC155" w14:textId="34FD08DF" w:rsidR="00C33278" w:rsidRPr="00C542BA" w:rsidRDefault="00C33278" w:rsidP="00C33278">
      <w:pPr>
        <w:pStyle w:val="ListParagraph"/>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Heading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lastRenderedPageBreak/>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Heading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ListParagraph"/>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ListParagraph"/>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w:t>
      </w:r>
      <w:r w:rsidRPr="00C542BA">
        <w:rPr>
          <w:rFonts w:ascii="Courier New" w:hAnsi="Courier New" w:cs="Courier New"/>
        </w:rPr>
        <w:lastRenderedPageBreak/>
        <w:t xml:space="preserve">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7)L’esito positivo della verifica di conformità non esonera il Contraente dal rispondere di eventuali difetti non emersi </w:t>
      </w:r>
      <w:r w:rsidRPr="00C542BA">
        <w:rPr>
          <w:rFonts w:ascii="Courier New" w:hAnsi="Courier New" w:cs="Courier New"/>
        </w:rPr>
        <w:lastRenderedPageBreak/>
        <w:t>nell’ambito delle attività di verifica e successivamente riscontrati; tali difetti dovranno essere prontamente eliminati durante il periodo di garanzia.</w:t>
      </w:r>
    </w:p>
    <w:p w14:paraId="33886B99" w14:textId="2F4ACF4A" w:rsidR="009743EC" w:rsidRPr="00C542BA" w:rsidRDefault="009743EC" w:rsidP="008F109A">
      <w:pPr>
        <w:jc w:val="both"/>
        <w:rPr>
          <w:rFonts w:ascii="Courier New" w:hAnsi="Courier New" w:cs="Courier New"/>
        </w:rPr>
      </w:pPr>
      <w:r>
        <w:rPr>
          <w:rFonts w:ascii="Courier New" w:hAnsi="Courier New" w:cs="Courier New"/>
        </w:rPr>
        <w:t xml:space="preserve">8) </w:t>
      </w:r>
      <w:r w:rsidRPr="008F109A">
        <w:rPr>
          <w:rFonts w:ascii="Courier New" w:hAnsi="Courier New" w:cs="Courier New"/>
        </w:rPr>
        <w:t xml:space="preserve">La S.A., in caso di servizi/forniture non caratterizzati da elevato contenuto tecnologico oppure da elevata complessità o innovazione, si riserva di accettare il certificato di regolare esecuzione emesso dal DEC (ovvero dal RUP se non nominato il DEC) in luogo della verifica di conformità. </w:t>
      </w:r>
    </w:p>
    <w:p w14:paraId="425F6FB0" w14:textId="77777777" w:rsidR="00C542BA" w:rsidRPr="00C542BA" w:rsidRDefault="00C542BA" w:rsidP="00C542BA">
      <w:pPr>
        <w:pStyle w:val="ListParagraph"/>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ListParagraph"/>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lastRenderedPageBreak/>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Heading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Heading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Heading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Heading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Heading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Heading1"/>
        <w:jc w:val="both"/>
        <w:rPr>
          <w:rFonts w:ascii="Courier New" w:hAnsi="Courier New" w:cs="Courier New"/>
          <w:b w:val="0"/>
          <w:sz w:val="20"/>
          <w:u w:val="none"/>
        </w:rPr>
      </w:pPr>
      <w:r w:rsidRPr="00C542BA">
        <w:rPr>
          <w:rFonts w:ascii="Courier New" w:hAnsi="Courier New" w:cs="Courier New"/>
          <w:b w:val="0"/>
          <w:sz w:val="20"/>
          <w:u w:val="none"/>
        </w:rPr>
        <w:t xml:space="preserve">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w:t>
      </w:r>
      <w:r w:rsidRPr="00C542BA">
        <w:rPr>
          <w:rFonts w:ascii="Courier New" w:hAnsi="Courier New" w:cs="Courier New"/>
          <w:b w:val="0"/>
          <w:sz w:val="20"/>
          <w:u w:val="none"/>
        </w:rPr>
        <w:lastRenderedPageBreak/>
        <w:t>possa comunque derivare dalle inadempienze del Contraente medesimo.</w:t>
      </w:r>
    </w:p>
    <w:p w14:paraId="6EBE2E0F" w14:textId="77777777" w:rsidR="00C542BA" w:rsidRPr="00C542BA" w:rsidRDefault="00C542BA" w:rsidP="00C542BA">
      <w:pPr>
        <w:pStyle w:val="Heading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FDB342D" w:rsidR="00C542BA" w:rsidRPr="00C542BA" w:rsidRDefault="009743EC" w:rsidP="00C542BA">
      <w:pPr>
        <w:jc w:val="center"/>
        <w:rPr>
          <w:rFonts w:ascii="Courier New" w:hAnsi="Courier New" w:cs="Courier New"/>
          <w:b/>
          <w:bCs/>
        </w:rPr>
      </w:pPr>
      <w:r>
        <w:rPr>
          <w:rFonts w:ascii="Courier New" w:hAnsi="Courier New" w:cs="Courier New"/>
          <w:b/>
          <w:bCs/>
        </w:rPr>
        <w:t xml:space="preserve">[eventuale, solo nel caso in cui sia nominato] </w:t>
      </w:r>
      <w:r w:rsidR="00C542BA"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w:t>
      </w:r>
      <w:r w:rsidRPr="00C542BA">
        <w:rPr>
          <w:rFonts w:ascii="Courier New" w:hAnsi="Courier New" w:cs="Courier New"/>
        </w:rPr>
        <w:lastRenderedPageBreak/>
        <w:t>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w:t>
      </w:r>
      <w:r w:rsidRPr="00C542BA">
        <w:rPr>
          <w:rFonts w:ascii="Courier New" w:hAnsi="Courier New" w:cs="Courier New"/>
        </w:rPr>
        <w:lastRenderedPageBreak/>
        <w:t>autorizzando quindi il trattamento dei dati stessi.</w:t>
      </w:r>
    </w:p>
    <w:p w14:paraId="7F5BD7DE"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Ai sensi e per gli effetti di cui agli artt. 1341 e 1342 c.c. si approvano espressamente tutti gli articoli del presente </w:t>
      </w:r>
      <w:r w:rsidRPr="00C542BA">
        <w:rPr>
          <w:rFonts w:ascii="Courier New" w:hAnsi="Courier New" w:cs="Courier New"/>
        </w:rPr>
        <w:lastRenderedPageBreak/>
        <w:t>contratto.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68DD6" w14:textId="77777777" w:rsidR="00A2050B" w:rsidRDefault="00A2050B">
      <w:r>
        <w:separator/>
      </w:r>
    </w:p>
  </w:endnote>
  <w:endnote w:type="continuationSeparator" w:id="0">
    <w:p w14:paraId="308A2F75" w14:textId="77777777" w:rsidR="00A2050B" w:rsidRDefault="00A20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9BF" w14:textId="77777777" w:rsidR="00566BFA" w:rsidRDefault="00566B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CC10F04" w14:textId="77777777" w:rsidR="00566BFA" w:rsidRDefault="00566B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229B" w14:textId="77777777" w:rsidR="00566BFA" w:rsidRDefault="00566BFA">
    <w:pPr>
      <w:pStyle w:val="Foot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6F6D1F">
      <w:rPr>
        <w:rStyle w:val="PageNumber"/>
        <w:noProof/>
      </w:rPr>
      <w:t>11</w:t>
    </w:r>
    <w:r>
      <w:rPr>
        <w:rStyle w:val="PageNumber"/>
      </w:rPr>
      <w:fldChar w:fldCharType="end"/>
    </w:r>
    <w:r>
      <w:rPr>
        <w:rStyle w:val="PageNumber"/>
      </w:rPr>
      <w:t xml:space="preserve"> </w:t>
    </w:r>
  </w:p>
  <w:p w14:paraId="09DA89BA" w14:textId="77777777" w:rsidR="00566BFA" w:rsidRDefault="00566BFA">
    <w:pPr>
      <w:pStyle w:val="Footer"/>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79D9F" w14:textId="77777777" w:rsidR="00566BFA" w:rsidRDefault="00566B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6DE91" w14:textId="77777777" w:rsidR="00A2050B" w:rsidRDefault="00A2050B">
      <w:r>
        <w:separator/>
      </w:r>
    </w:p>
  </w:footnote>
  <w:footnote w:type="continuationSeparator" w:id="0">
    <w:p w14:paraId="77908A58" w14:textId="77777777" w:rsidR="00A2050B" w:rsidRDefault="00A20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171C" w14:textId="1464938F" w:rsidR="00566BFA" w:rsidRDefault="00566B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F33C" w14:textId="717DA2CC" w:rsidR="00566BFA" w:rsidRDefault="00566BFA">
    <w:pPr>
      <w:pStyle w:val="Header"/>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D3FA" w14:textId="3DA5957C" w:rsidR="00566BFA" w:rsidRDefault="00566B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abstractNumId w:val="12"/>
  </w:num>
  <w:num w:numId="2">
    <w:abstractNumId w:val="10"/>
  </w:num>
  <w:num w:numId="3">
    <w:abstractNumId w:val="13"/>
  </w:num>
  <w:num w:numId="4">
    <w:abstractNumId w:val="7"/>
  </w:num>
  <w:num w:numId="5">
    <w:abstractNumId w:val="5"/>
  </w:num>
  <w:num w:numId="6">
    <w:abstractNumId w:val="11"/>
  </w:num>
  <w:num w:numId="7">
    <w:abstractNumId w:val="0"/>
  </w:num>
  <w:num w:numId="8">
    <w:abstractNumId w:val="1"/>
  </w:num>
  <w:num w:numId="9">
    <w:abstractNumId w:val="4"/>
  </w:num>
  <w:num w:numId="10">
    <w:abstractNumId w:val="2"/>
  </w:num>
  <w:num w:numId="11">
    <w:abstractNumId w:val="3"/>
  </w:num>
  <w:num w:numId="12">
    <w:abstractNumId w:val="9"/>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17455"/>
    <w:rsid w:val="00030DB8"/>
    <w:rsid w:val="00046F00"/>
    <w:rsid w:val="000711B4"/>
    <w:rsid w:val="000777DE"/>
    <w:rsid w:val="00077E67"/>
    <w:rsid w:val="00096FC9"/>
    <w:rsid w:val="000B683B"/>
    <w:rsid w:val="000B7C9C"/>
    <w:rsid w:val="000C4C1B"/>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3456A"/>
    <w:rsid w:val="00353AE3"/>
    <w:rsid w:val="00361EA9"/>
    <w:rsid w:val="00396740"/>
    <w:rsid w:val="003B3252"/>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740E6"/>
    <w:rsid w:val="00577A3C"/>
    <w:rsid w:val="005828CE"/>
    <w:rsid w:val="00586F20"/>
    <w:rsid w:val="005B466D"/>
    <w:rsid w:val="005C4739"/>
    <w:rsid w:val="006121D2"/>
    <w:rsid w:val="0061272F"/>
    <w:rsid w:val="006449AA"/>
    <w:rsid w:val="0064680B"/>
    <w:rsid w:val="00654D10"/>
    <w:rsid w:val="0066384F"/>
    <w:rsid w:val="0066436A"/>
    <w:rsid w:val="006706DB"/>
    <w:rsid w:val="006726E5"/>
    <w:rsid w:val="0067381F"/>
    <w:rsid w:val="00675757"/>
    <w:rsid w:val="00692C2B"/>
    <w:rsid w:val="006C28FC"/>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109A"/>
    <w:rsid w:val="008F25F6"/>
    <w:rsid w:val="00906CCF"/>
    <w:rsid w:val="00952103"/>
    <w:rsid w:val="009553A6"/>
    <w:rsid w:val="00956D14"/>
    <w:rsid w:val="00962926"/>
    <w:rsid w:val="00964F95"/>
    <w:rsid w:val="00967A1E"/>
    <w:rsid w:val="009743EC"/>
    <w:rsid w:val="00976144"/>
    <w:rsid w:val="009762C1"/>
    <w:rsid w:val="00986580"/>
    <w:rsid w:val="00993EA3"/>
    <w:rsid w:val="009A2B7E"/>
    <w:rsid w:val="009A7B00"/>
    <w:rsid w:val="009D1E00"/>
    <w:rsid w:val="009E2874"/>
    <w:rsid w:val="009E39FA"/>
    <w:rsid w:val="009F38BC"/>
    <w:rsid w:val="00A075AB"/>
    <w:rsid w:val="00A2050B"/>
    <w:rsid w:val="00A450F3"/>
    <w:rsid w:val="00A4782B"/>
    <w:rsid w:val="00A62B07"/>
    <w:rsid w:val="00A73DA2"/>
    <w:rsid w:val="00A91583"/>
    <w:rsid w:val="00AA084F"/>
    <w:rsid w:val="00AA4218"/>
    <w:rsid w:val="00AA4E63"/>
    <w:rsid w:val="00B078A4"/>
    <w:rsid w:val="00B1726F"/>
    <w:rsid w:val="00B275B6"/>
    <w:rsid w:val="00B50E32"/>
    <w:rsid w:val="00B5163D"/>
    <w:rsid w:val="00B70BC7"/>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9787B"/>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0734B"/>
    <w:rsid w:val="00E27335"/>
    <w:rsid w:val="00E333AC"/>
    <w:rsid w:val="00E4130A"/>
    <w:rsid w:val="00E76D22"/>
    <w:rsid w:val="00E948B0"/>
    <w:rsid w:val="00EA7F0D"/>
    <w:rsid w:val="00EE0055"/>
    <w:rsid w:val="00EF77A7"/>
    <w:rsid w:val="00F0068C"/>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44F8"/>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stroke="f">
      <v:fill color="white"/>
      <v:stroke on="f"/>
    </o:shapedefaults>
    <o:shapelayout v:ext="edit">
      <o:idmap v:ext="edit" data="1"/>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line="567" w:lineRule="exact"/>
    </w:pPr>
    <w:rPr>
      <w:rFonts w:ascii="Arial" w:hAnsi="Arial"/>
      <w:lang w:bidi="he-IL"/>
    </w:rPr>
  </w:style>
  <w:style w:type="paragraph" w:styleId="Heading1">
    <w:name w:val="heading 1"/>
    <w:basedOn w:val="Normal"/>
    <w:next w:val="Normal"/>
    <w:qFormat/>
    <w:pPr>
      <w:keepNext/>
      <w:jc w:val="center"/>
      <w:outlineLvl w:val="0"/>
    </w:pPr>
    <w:rPr>
      <w:rFonts w:ascii="Times New Roman" w:hAnsi="Times New Roman"/>
      <w:b/>
      <w:sz w:val="24"/>
      <w:u w:val="single"/>
    </w:rPr>
  </w:style>
  <w:style w:type="paragraph" w:styleId="Heading2">
    <w:name w:val="heading 2"/>
    <w:basedOn w:val="Normal"/>
    <w:next w:val="Normal"/>
    <w:qFormat/>
    <w:pPr>
      <w:keepNext/>
      <w:jc w:val="both"/>
      <w:outlineLvl w:val="1"/>
    </w:pPr>
    <w:rPr>
      <w:rFonts w:ascii="Times New Roman" w:hAnsi="Times New Roman"/>
      <w:b/>
      <w:sz w:val="24"/>
      <w:u w:val="single"/>
    </w:rPr>
  </w:style>
  <w:style w:type="paragraph" w:styleId="Heading3">
    <w:name w:val="heading 3"/>
    <w:basedOn w:val="Normal"/>
    <w:next w:val="Normal"/>
    <w:qFormat/>
    <w:pPr>
      <w:keepNext/>
      <w:jc w:val="both"/>
      <w:outlineLvl w:val="2"/>
    </w:pPr>
    <w:rPr>
      <w:rFonts w:ascii="Times New Roman" w:hAnsi="Times New Roman"/>
      <w:b/>
      <w:sz w:val="24"/>
    </w:rPr>
  </w:style>
  <w:style w:type="paragraph" w:styleId="Heading4">
    <w:name w:val="heading 4"/>
    <w:basedOn w:val="Normal"/>
    <w:next w:val="Normal"/>
    <w:qFormat/>
    <w:pPr>
      <w:keepNext/>
      <w:outlineLvl w:val="3"/>
    </w:pPr>
    <w:rPr>
      <w:rFonts w:ascii="Times New Roman" w:hAnsi="Times New Roman"/>
      <w:b/>
      <w:sz w:val="24"/>
      <w:u w:val="single"/>
    </w:rPr>
  </w:style>
  <w:style w:type="paragraph" w:styleId="Heading5">
    <w:name w:val="heading 5"/>
    <w:basedOn w:val="Normal"/>
    <w:next w:val="Normal"/>
    <w:qFormat/>
    <w:pPr>
      <w:keepNext/>
      <w:jc w:val="both"/>
      <w:outlineLvl w:val="4"/>
    </w:pPr>
    <w:rPr>
      <w:rFonts w:ascii="Times New Roman" w:hAnsi="Times New Roman"/>
      <w:sz w:val="24"/>
    </w:rPr>
  </w:style>
  <w:style w:type="paragraph" w:styleId="Heading6">
    <w:name w:val="heading 6"/>
    <w:basedOn w:val="Normal"/>
    <w:next w:val="Normal"/>
    <w:qFormat/>
    <w:pPr>
      <w:keepNext/>
      <w:outlineLvl w:val="5"/>
    </w:pPr>
    <w:rPr>
      <w:rFonts w:ascii="Times New Roman" w:hAnsi="Times New Roman"/>
      <w:sz w:val="28"/>
    </w:rPr>
  </w:style>
  <w:style w:type="paragraph" w:styleId="Heading7">
    <w:name w:val="heading 7"/>
    <w:basedOn w:val="Normal"/>
    <w:next w:val="Normal"/>
    <w:qFormat/>
    <w:pPr>
      <w:keepNext/>
      <w:jc w:val="right"/>
      <w:outlineLvl w:val="6"/>
    </w:pPr>
    <w:rPr>
      <w:sz w:val="24"/>
    </w:rPr>
  </w:style>
  <w:style w:type="paragraph" w:styleId="Heading8">
    <w:name w:val="heading 8"/>
    <w:basedOn w:val="Normal"/>
    <w:next w:val="Normal"/>
    <w:qFormat/>
    <w:pPr>
      <w:keepNext/>
      <w:jc w:val="right"/>
      <w:outlineLvl w:val="7"/>
    </w:pPr>
    <w:rPr>
      <w:sz w:val="24"/>
      <w:u w:val="single"/>
    </w:rPr>
  </w:style>
  <w:style w:type="paragraph" w:styleId="Heading9">
    <w:name w:val="heading 9"/>
    <w:basedOn w:val="Normal"/>
    <w:next w:val="Normal"/>
    <w:qFormat/>
    <w:pPr>
      <w:keepNext/>
      <w:jc w:val="center"/>
      <w:outlineLvl w:val="8"/>
    </w:pPr>
    <w:rPr>
      <w:rFonts w:ascii="Times New Roman" w:hAnsi="Times New Roman"/>
      <w:b/>
      <w:bCs/>
      <w:spacing w:val="20"/>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819"/>
        <w:tab w:val="right" w:pos="9638"/>
      </w:tabs>
    </w:pPr>
  </w:style>
  <w:style w:type="paragraph" w:styleId="Footer">
    <w:name w:val="footer"/>
    <w:basedOn w:val="Normal"/>
    <w:pPr>
      <w:tabs>
        <w:tab w:val="center" w:pos="4819"/>
        <w:tab w:val="right" w:pos="9638"/>
      </w:tabs>
    </w:pPr>
  </w:style>
  <w:style w:type="character" w:styleId="PageNumber">
    <w:name w:val="page number"/>
    <w:basedOn w:val="DefaultParagraphFont"/>
  </w:style>
  <w:style w:type="paragraph" w:styleId="Title">
    <w:name w:val="Title"/>
    <w:basedOn w:val="Normal"/>
    <w:qFormat/>
    <w:pPr>
      <w:jc w:val="center"/>
    </w:pPr>
    <w:rPr>
      <w:rFonts w:ascii="Times New Roman" w:hAnsi="Times New Roman"/>
      <w:b/>
      <w:sz w:val="24"/>
      <w:u w:val="single"/>
    </w:rPr>
  </w:style>
  <w:style w:type="paragraph" w:styleId="BodyText">
    <w:name w:val="Body Text"/>
    <w:basedOn w:val="Normal"/>
    <w:pPr>
      <w:jc w:val="both"/>
    </w:pPr>
    <w:rPr>
      <w:rFonts w:ascii="Times New Roman" w:hAnsi="Times New Roman"/>
      <w:sz w:val="24"/>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pPr>
      <w:jc w:val="both"/>
    </w:pPr>
    <w:rPr>
      <w:rFonts w:cs="Arial"/>
      <w:b/>
      <w:sz w:val="24"/>
      <w:u w:val="single"/>
    </w:rPr>
  </w:style>
  <w:style w:type="paragraph" w:styleId="BodyText3">
    <w:name w:val="Body Text 3"/>
    <w:basedOn w:val="Normal"/>
    <w:pPr>
      <w:jc w:val="both"/>
    </w:pPr>
    <w:rPr>
      <w:rFonts w:ascii="Times New Roman" w:hAnsi="Times New Roman"/>
      <w:sz w:val="28"/>
    </w:rPr>
  </w:style>
  <w:style w:type="paragraph" w:styleId="BodyTextIndent">
    <w:name w:val="Body Text Indent"/>
    <w:basedOn w:val="Normal"/>
    <w:pPr>
      <w:widowControl/>
      <w:spacing w:line="240" w:lineRule="auto"/>
      <w:ind w:left="567"/>
      <w:jc w:val="both"/>
    </w:pPr>
    <w:rPr>
      <w:rFonts w:ascii="Times New Roman" w:hAnsi="Times New Roman"/>
      <w:color w:val="000000"/>
      <w:sz w:val="24"/>
      <w:lang w:bidi="ar-SA"/>
    </w:rPr>
  </w:style>
  <w:style w:type="paragraph" w:styleId="BodyTextIndent2">
    <w:name w:val="Body Text Indent 2"/>
    <w:basedOn w:val="Normal"/>
    <w:pPr>
      <w:widowControl/>
      <w:spacing w:line="240" w:lineRule="auto"/>
      <w:ind w:left="873"/>
      <w:jc w:val="both"/>
    </w:pPr>
    <w:rPr>
      <w:rFonts w:ascii="Times New Roman" w:hAnsi="Times New Roman"/>
      <w:color w:val="000000"/>
      <w:sz w:val="24"/>
      <w:lang w:bidi="ar-SA"/>
    </w:rPr>
  </w:style>
  <w:style w:type="paragraph" w:styleId="BodyTextIndent3">
    <w:name w:val="Body Text Indent 3"/>
    <w:basedOn w:val="Normal"/>
    <w:pPr>
      <w:widowControl/>
      <w:tabs>
        <w:tab w:val="left" w:pos="851"/>
      </w:tabs>
      <w:spacing w:line="240" w:lineRule="auto"/>
      <w:ind w:left="491"/>
      <w:jc w:val="both"/>
    </w:pPr>
    <w:rPr>
      <w:rFonts w:ascii="Times New Roman" w:hAnsi="Times New Roman"/>
      <w:color w:val="FF0000"/>
      <w:sz w:val="24"/>
      <w:lang w:bidi="ar-SA"/>
    </w:rPr>
  </w:style>
  <w:style w:type="character" w:styleId="Hyperlink">
    <w:name w:val="Hyperlink"/>
    <w:rPr>
      <w:color w:val="0000FF"/>
      <w:u w:val="single"/>
    </w:rPr>
  </w:style>
  <w:style w:type="paragraph" w:styleId="BalloonText">
    <w:name w:val="Balloon Text"/>
    <w:basedOn w:val="Normal"/>
    <w:link w:val="BalloonTextChar"/>
    <w:rsid w:val="00D26D8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26D8C"/>
    <w:rPr>
      <w:rFonts w:ascii="Tahoma" w:hAnsi="Tahoma" w:cs="Tahoma"/>
      <w:sz w:val="16"/>
      <w:szCs w:val="16"/>
      <w:lang w:bidi="he-IL"/>
    </w:rPr>
  </w:style>
  <w:style w:type="paragraph" w:styleId="ListParagraph">
    <w:name w:val="List Paragraph"/>
    <w:basedOn w:val="Normal"/>
    <w:uiPriority w:val="34"/>
    <w:qFormat/>
    <w:rsid w:val="009F38BC"/>
    <w:pPr>
      <w:ind w:left="720"/>
      <w:contextualSpacing/>
    </w:pPr>
  </w:style>
  <w:style w:type="character" w:styleId="UnresolvedMention">
    <w:name w:val="Unresolved Mention"/>
    <w:basedOn w:val="DefaultParagraphFont"/>
    <w:uiPriority w:val="99"/>
    <w:semiHidden/>
    <w:unhideWhenUsed/>
    <w:rsid w:val="00BB7EF1"/>
    <w:rPr>
      <w:color w:val="605E5C"/>
      <w:shd w:val="clear" w:color="auto" w:fill="E1DFDD"/>
    </w:rPr>
  </w:style>
  <w:style w:type="table" w:styleId="TableGrid">
    <w:name w:val="Table Grid"/>
    <w:basedOn w:val="TableNormal"/>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Template>
  <TotalTime>0</TotalTime>
  <Pages>17</Pages>
  <Words>3181</Words>
  <Characters>18138</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21277</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ZUIN Matteo</cp:lastModifiedBy>
  <cp:revision>2</cp:revision>
  <cp:lastPrinted>2013-11-08T09:56:00Z</cp:lastPrinted>
  <dcterms:created xsi:type="dcterms:W3CDTF">2024-10-25T09:49:00Z</dcterms:created>
  <dcterms:modified xsi:type="dcterms:W3CDTF">2024-10-25T09:49:00Z</dcterms:modified>
</cp:coreProperties>
</file>