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0C1BB7C4" w14:textId="77777777" w:rsidR="00D7643E" w:rsidRPr="00CD1DD7" w:rsidRDefault="00D7643E" w:rsidP="00D7643E">
      <w:pPr>
        <w:spacing w:line="240" w:lineRule="auto"/>
        <w:rPr>
          <w:rFonts w:ascii="Calibri" w:hAnsi="Calibri" w:cs="Calibri"/>
          <w:caps/>
          <w:sz w:val="20"/>
          <w:szCs w:val="20"/>
        </w:rPr>
      </w:pPr>
      <w:r w:rsidRPr="00007C3D">
        <w:rPr>
          <w:rFonts w:ascii="Calibri" w:hAnsi="Calibri" w:cs="Calibri"/>
          <w:caps/>
          <w:sz w:val="20"/>
          <w:szCs w:val="20"/>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 che attesti che il consumo tipico di energia elettrica (Etec), calcolato per ogni dispositivo offerto, non superi il TEC massimo necessario (Etec-max)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3E19039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305D52B5" w14:textId="7567A920" w:rsidR="004D016F" w:rsidRPr="004D016F" w:rsidRDefault="004D016F" w:rsidP="001061C1">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Default="004D016F"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23D90">
      <w:headerReference w:type="default" r:id="rId11"/>
      <w:footerReference w:type="default" r:id="rId12"/>
      <w:headerReference w:type="first" r:id="rId13"/>
      <w:pgSz w:w="11906" w:h="16838"/>
      <w:pgMar w:top="1985" w:right="1134" w:bottom="1843"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CBFD6" w14:textId="77777777" w:rsidR="00986D7E" w:rsidRDefault="00986D7E">
      <w:r>
        <w:separator/>
      </w:r>
    </w:p>
  </w:endnote>
  <w:endnote w:type="continuationSeparator" w:id="0">
    <w:p w14:paraId="23008500" w14:textId="77777777" w:rsidR="00986D7E" w:rsidRDefault="0098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010A646B" w:rsidR="00BE3DBC" w:rsidRDefault="00F23D90" w:rsidP="006454B6">
    <w:pPr>
      <w:pStyle w:val="Pidipagina"/>
      <w:spacing w:before="0" w:after="0" w:line="240" w:lineRule="auto"/>
      <w:jc w:val="right"/>
    </w:pPr>
    <w:r>
      <w:rPr>
        <w:noProof/>
      </w:rPr>
      <w:drawing>
        <wp:anchor distT="0" distB="0" distL="114300" distR="114300" simplePos="0" relativeHeight="251661312" behindDoc="1" locked="0" layoutInCell="1" allowOverlap="1" wp14:anchorId="06BB0124" wp14:editId="130F0627">
          <wp:simplePos x="0" y="0"/>
          <wp:positionH relativeFrom="column">
            <wp:posOffset>-719667</wp:posOffset>
          </wp:positionH>
          <wp:positionV relativeFrom="paragraph">
            <wp:posOffset>-355600</wp:posOffset>
          </wp:positionV>
          <wp:extent cx="7560000" cy="957600"/>
          <wp:effectExtent l="0" t="0" r="3175" b="0"/>
          <wp:wrapNone/>
          <wp:docPr id="157122299"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1C2C8" w14:textId="77777777" w:rsidR="00986D7E" w:rsidRDefault="00986D7E">
      <w:r>
        <w:separator/>
      </w:r>
    </w:p>
  </w:footnote>
  <w:footnote w:type="continuationSeparator" w:id="0">
    <w:p w14:paraId="12B2C173" w14:textId="77777777" w:rsidR="00986D7E" w:rsidRDefault="00986D7E">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17E27D09" w:rsidR="00BE3DBC" w:rsidRDefault="00870518" w:rsidP="00E647BB">
    <w:pPr>
      <w:pStyle w:val="Intestazione"/>
      <w:tabs>
        <w:tab w:val="clear" w:pos="4819"/>
        <w:tab w:val="clear" w:pos="9638"/>
      </w:tabs>
      <w:jc w:val="left"/>
    </w:pPr>
    <w:r w:rsidRPr="00E00D6C">
      <w:rPr>
        <w:noProof/>
      </w:rPr>
      <w:drawing>
        <wp:anchor distT="0" distB="0" distL="114300" distR="114300" simplePos="0" relativeHeight="251659264" behindDoc="1" locked="0" layoutInCell="1" allowOverlap="1" wp14:anchorId="66E38990" wp14:editId="4F383611">
          <wp:simplePos x="0" y="0"/>
          <wp:positionH relativeFrom="column">
            <wp:posOffset>-719667</wp:posOffset>
          </wp:positionH>
          <wp:positionV relativeFrom="paragraph">
            <wp:posOffset>-457835</wp:posOffset>
          </wp:positionV>
          <wp:extent cx="7560000" cy="1087200"/>
          <wp:effectExtent l="0" t="0" r="3175" b="0"/>
          <wp:wrapNone/>
          <wp:docPr id="150333319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1458783737" name="Immagine 1458783737"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1733"/>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518"/>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4A7D"/>
    <w:rsid w:val="00D75464"/>
    <w:rsid w:val="00D7643E"/>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3D90"/>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1366</Words>
  <Characters>8496</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MARCO CAMPANI</cp:lastModifiedBy>
  <cp:revision>29</cp:revision>
  <cp:lastPrinted>2023-05-17T10:53:00Z</cp:lastPrinted>
  <dcterms:created xsi:type="dcterms:W3CDTF">2023-06-14T12:55:00Z</dcterms:created>
  <dcterms:modified xsi:type="dcterms:W3CDTF">2024-12-30T13:49:00Z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