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708E761B" w14:textId="6358644C" w:rsidR="00560AE2" w:rsidRPr="00560AE2" w:rsidRDefault="00471DC5" w:rsidP="00560AE2">
      <w:pPr>
        <w:spacing w:before="0" w:after="0" w:line="240" w:lineRule="auto"/>
        <w:contextualSpacing/>
        <w:rPr>
          <w:rFonts w:ascii="Calibri" w:eastAsia="Calibri" w:hAnsi="Calibri" w:cs="Calibri"/>
          <w:caps/>
          <w:sz w:val="20"/>
          <w:szCs w:val="20"/>
        </w:rPr>
      </w:pPr>
      <w:r w:rsidRPr="00471DC5">
        <w:rPr>
          <w:rFonts w:ascii="Calibri" w:eastAsia="Calibri" w:hAnsi="Calibri" w:cs="Calibri"/>
          <w:caps/>
          <w:sz w:val="20"/>
          <w:szCs w:val="20"/>
        </w:rPr>
        <w:t xml:space="preserve">GARA A </w:t>
      </w:r>
      <w:r w:rsidR="00045C77" w:rsidRPr="00045C77">
        <w:rPr>
          <w:rFonts w:ascii="Calibri" w:eastAsia="Calibri" w:hAnsi="Calibri" w:cs="Calibri"/>
          <w:b/>
          <w:caps/>
          <w:sz w:val="20"/>
          <w:szCs w:val="20"/>
        </w:rPr>
        <w:t xml:space="preserve">PROCEDURA APERTA SOPRA SOGLIA COMUNITARIA AI SENSI DELL’ART. 71 DEL D. LGS. N. 36/2023 PER L’AFFIDAMENTO DELLA FORNITURA DI STRUMENTAZIONE SCIENTIFICA PER N.1 SISTEMA DOPPLER CLUOD RADAR </w:t>
      </w:r>
      <w:r w:rsidR="00045C77" w:rsidRPr="00045C77">
        <w:rPr>
          <w:rFonts w:ascii="Calibri" w:eastAsia="Calibri" w:hAnsi="Calibri" w:cs="Calibri"/>
          <w:b/>
          <w:bCs/>
          <w:caps/>
          <w:sz w:val="20"/>
          <w:szCs w:val="20"/>
        </w:rPr>
        <w:t xml:space="preserve">CON IL CRITERIO DELL’OFFERTA ECONOMICAMENTE PIÙ VANTAGGIOSA SULLA BASE DEL MIGLIOR RAPPORTO QUALITÀ/PREZZO </w:t>
      </w:r>
      <w:r w:rsidR="00045C77" w:rsidRPr="00045C77">
        <w:rPr>
          <w:rFonts w:ascii="Calibri" w:eastAsia="Calibri" w:hAnsi="Calibri" w:cs="Calibri"/>
          <w:b/>
          <w:caps/>
          <w:sz w:val="20"/>
          <w:szCs w:val="20"/>
        </w:rPr>
        <w:t xml:space="preserve">NELL’AMBITO DEL PIANO NAZIONALE RIPRESA E RESILIENZA (PNRR) MISSIONE 4 COMPONENTE 2 </w:t>
      </w:r>
      <w:r w:rsidR="00045C77" w:rsidRPr="00045C77">
        <w:rPr>
          <w:rFonts w:ascii="Calibri" w:eastAsia="Calibri" w:hAnsi="Calibri" w:cs="Calibri"/>
          <w:b/>
          <w:i/>
          <w:iCs/>
          <w:caps/>
          <w:sz w:val="20"/>
          <w:szCs w:val="20"/>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045C77" w:rsidRPr="00045C77">
        <w:rPr>
          <w:rFonts w:ascii="Calibri" w:eastAsia="Calibri" w:hAnsi="Calibri" w:cs="Calibri"/>
          <w:b/>
          <w:caps/>
          <w:sz w:val="20"/>
          <w:szCs w:val="20"/>
        </w:rPr>
        <w:t>CIG [</w:t>
      </w:r>
      <w:r w:rsidR="00045C77" w:rsidRPr="00045C77">
        <w:rPr>
          <w:rFonts w:ascii="Calibri" w:eastAsia="Calibri" w:hAnsi="Calibri" w:cs="Calibri"/>
          <w:b/>
          <w:caps/>
          <w:sz w:val="20"/>
          <w:szCs w:val="20"/>
          <w:highlight w:val="yellow"/>
        </w:rPr>
        <w:t>COMPLETARE</w:t>
      </w:r>
      <w:r w:rsidR="00045C77" w:rsidRPr="00045C77">
        <w:rPr>
          <w:rFonts w:ascii="Calibri" w:eastAsia="Calibri" w:hAnsi="Calibri" w:cs="Calibri"/>
          <w:b/>
          <w:caps/>
          <w:sz w:val="20"/>
          <w:szCs w:val="20"/>
        </w:rPr>
        <w:t>]</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468C57E2"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 xml:space="preserve">I prodotti elettronici acquistati sono dotati di un’etichetta ambientale di tipo I, secondo la UNI EN ISO 14024, ad esempio TCO Certified, </w:t>
            </w:r>
            <w:r w:rsidRPr="000E1298">
              <w:rPr>
                <w:rFonts w:ascii="Calibri" w:hAnsi="Calibri" w:cs="Calibri"/>
                <w:sz w:val="16"/>
                <w:szCs w:val="16"/>
              </w:rPr>
              <w:lastRenderedPageBreak/>
              <w:t>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lastRenderedPageBreak/>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B038190"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508E71E4" w14:textId="77777777" w:rsidR="0084125C" w:rsidRPr="004D016F" w:rsidRDefault="0084125C" w:rsidP="0084125C">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5AF7A" w14:textId="77777777" w:rsidR="000B694C" w:rsidRDefault="000B694C">
      <w:r>
        <w:separator/>
      </w:r>
    </w:p>
  </w:endnote>
  <w:endnote w:type="continuationSeparator" w:id="0">
    <w:p w14:paraId="4DD212C8" w14:textId="77777777" w:rsidR="000B694C" w:rsidRDefault="000B6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77777777" w:rsidR="00BE3DBC" w:rsidRDefault="00BE3DBC" w:rsidP="006454B6">
    <w:pPr>
      <w:pStyle w:val="Pidipagina"/>
      <w:spacing w:before="0" w:after="0" w:line="240" w:lineRule="auto"/>
      <w:jc w:val="right"/>
    </w:pPr>
  </w:p>
  <w:p w14:paraId="2C00C214" w14:textId="77777777" w:rsidR="00BC2F60" w:rsidRPr="009A77BC" w:rsidRDefault="00BC2F60" w:rsidP="00BC2F60">
    <w:pPr>
      <w:spacing w:before="0" w:after="0" w:line="240" w:lineRule="auto"/>
      <w:ind w:left="284" w:hanging="1135"/>
      <w:rPr>
        <w:rFonts w:ascii="Calibri" w:eastAsia="Calibri" w:hAnsi="Calibri"/>
        <w:b/>
        <w:bCs/>
        <w:i/>
        <w:color w:val="4F81BD"/>
        <w:sz w:val="15"/>
        <w:szCs w:val="15"/>
      </w:rPr>
    </w:pPr>
    <w:r>
      <w:rPr>
        <w:noProof/>
      </w:rPr>
      <w:drawing>
        <wp:anchor distT="0" distB="0" distL="114300" distR="114300" simplePos="0" relativeHeight="251661312" behindDoc="0" locked="0" layoutInCell="1" allowOverlap="1" wp14:anchorId="1A31BC48" wp14:editId="0110CBA9">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C61BA07" wp14:editId="4C2AA21E">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34224A90" w14:textId="77777777" w:rsidR="00BC2F60" w:rsidRPr="00F36A54"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2293533A" w14:textId="77777777" w:rsidR="00BC2F60" w:rsidRPr="00F36A54"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08EC948B" w14:textId="77777777" w:rsidR="00BC2F60" w:rsidRPr="00F36A54"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770B3C02" w14:textId="77777777" w:rsidR="00BC2F60" w:rsidRPr="00F36A54"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050A1CAE" w14:textId="77777777" w:rsidR="00BC2F60" w:rsidRPr="00F36A54"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6FFAEDBD" w14:textId="77777777" w:rsidR="00BC2F60" w:rsidRPr="009A77BC"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087F6426" w14:textId="77777777" w:rsidR="00BC2F60" w:rsidRPr="00275314" w:rsidRDefault="00BC2F60" w:rsidP="00BC2F60">
    <w:pPr>
      <w:spacing w:before="0" w:after="0" w:line="240" w:lineRule="auto"/>
      <w:ind w:left="709"/>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7ED4B" w14:textId="77777777" w:rsidR="000B694C" w:rsidRDefault="000B694C">
      <w:r>
        <w:separator/>
      </w:r>
    </w:p>
  </w:footnote>
  <w:footnote w:type="continuationSeparator" w:id="0">
    <w:p w14:paraId="41BD6B77" w14:textId="77777777" w:rsidR="000B694C" w:rsidRDefault="000B694C">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4F2875">
        <w:rPr>
          <w:rFonts w:ascii="Calibri" w:hAnsi="Calibri" w:cs="Calibri"/>
          <w:sz w:val="16"/>
          <w:szCs w:val="16"/>
        </w:rPr>
        <w:t xml:space="preserve">L’esito positivo a </w:t>
      </w:r>
      <w:r w:rsidR="002763DE" w:rsidRPr="004F2875">
        <w:rPr>
          <w:rFonts w:ascii="Calibri" w:hAnsi="Calibri" w:cs="Calibri"/>
          <w:sz w:val="16"/>
          <w:szCs w:val="16"/>
        </w:rPr>
        <w:t xml:space="preserve">tale elemento di controllo </w:t>
      </w:r>
      <w:r w:rsidR="00670E03" w:rsidRPr="004F2875">
        <w:rPr>
          <w:rFonts w:ascii="Calibri" w:hAnsi="Calibri" w:cs="Calibri"/>
          <w:sz w:val="16"/>
          <w:szCs w:val="16"/>
        </w:rPr>
        <w:t>fornisce tutti gli elementi per la verifica del rispetto DNSH</w:t>
      </w:r>
      <w:r w:rsidR="00B82703" w:rsidRPr="004F2875">
        <w:rPr>
          <w:rFonts w:ascii="Calibri" w:hAnsi="Calibri" w:cs="Calibri"/>
          <w:sz w:val="16"/>
          <w:szCs w:val="16"/>
        </w:rPr>
        <w:t>.</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C1433F">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5C77"/>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B694C"/>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00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216"/>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37ED"/>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8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945"/>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6AD"/>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5FDD"/>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125C"/>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2F60"/>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1FF5"/>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1483</Words>
  <Characters>8457</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MARCO BRACOLONI</cp:lastModifiedBy>
  <cp:revision>33</cp:revision>
  <cp:lastPrinted>2023-05-17T10:53:00Z</cp:lastPrinted>
  <dcterms:created xsi:type="dcterms:W3CDTF">2023-06-14T12:55:00Z</dcterms:created>
  <dcterms:modified xsi:type="dcterms:W3CDTF">2025-03-22T23:30:00Z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