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30423" w14:textId="77777777" w:rsidR="00A33146" w:rsidRDefault="00A33146">
      <w:pPr>
        <w:pStyle w:val="Corpotesto"/>
        <w:rPr>
          <w:rFonts w:asciiTheme="minorHAnsi" w:hAnsiTheme="minorHAnsi" w:cstheme="minorHAnsi"/>
          <w:sz w:val="20"/>
          <w:szCs w:val="20"/>
        </w:rPr>
      </w:pPr>
    </w:p>
    <w:p w14:paraId="24CE59C5" w14:textId="77777777" w:rsidR="00815A00" w:rsidRDefault="00A33146" w:rsidP="00857355">
      <w:pPr>
        <w:contextualSpacing/>
        <w:jc w:val="both"/>
        <w:rPr>
          <w:rFonts w:asciiTheme="minorHAnsi" w:hAnsiTheme="minorHAnsi" w:cstheme="minorHAnsi"/>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p>
    <w:p w14:paraId="6853CD80" w14:textId="77A58AE5" w:rsidR="00A33146" w:rsidRDefault="00857355" w:rsidP="00857355">
      <w:pPr>
        <w:contextualSpacing/>
        <w:jc w:val="both"/>
        <w:rPr>
          <w:rFonts w:asciiTheme="minorHAnsi" w:hAnsiTheme="minorHAnsi" w:cstheme="minorHAnsi"/>
          <w:b/>
          <w:caps/>
          <w:sz w:val="20"/>
          <w:szCs w:val="20"/>
        </w:rPr>
      </w:pPr>
      <w:r w:rsidRPr="00857355">
        <w:rPr>
          <w:rFonts w:asciiTheme="minorHAnsi" w:hAnsiTheme="minorHAnsi" w:cstheme="minorHAnsi"/>
          <w:caps/>
          <w:sz w:val="20"/>
          <w:szCs w:val="20"/>
        </w:rPr>
        <w:t xml:space="preserve">GARA </w:t>
      </w:r>
      <w:r w:rsidR="00815A00">
        <w:rPr>
          <w:rFonts w:asciiTheme="minorHAnsi" w:hAnsiTheme="minorHAnsi" w:cstheme="minorHAnsi"/>
          <w:caps/>
          <w:sz w:val="20"/>
          <w:szCs w:val="20"/>
        </w:rPr>
        <w:t xml:space="preserve">A </w:t>
      </w:r>
      <w:r w:rsidR="00815A00" w:rsidRPr="00815A00">
        <w:rPr>
          <w:rFonts w:asciiTheme="minorHAnsi" w:hAnsiTheme="minorHAnsi" w:cstheme="minorHAnsi"/>
          <w:b/>
          <w:caps/>
          <w:sz w:val="20"/>
          <w:szCs w:val="20"/>
        </w:rPr>
        <w:t xml:space="preserve">PROCEDURA APERTA SOPRA SOGLIA COMUNITARIA AI SENSI DELL’ART. 71 DEL D. LGS. N. 36/2023 PER L’AFFIDAMENTO DELLA FORNITURA DI STRUMENTAZIONE SCIENTIFICA PER N.1 SISTEMA DOPPLER CLUOD RADAR </w:t>
      </w:r>
      <w:r w:rsidR="00815A00" w:rsidRPr="00815A00">
        <w:rPr>
          <w:rFonts w:asciiTheme="minorHAnsi" w:hAnsiTheme="minorHAnsi" w:cstheme="minorHAnsi"/>
          <w:b/>
          <w:bCs/>
          <w:caps/>
          <w:sz w:val="20"/>
          <w:szCs w:val="20"/>
        </w:rPr>
        <w:t xml:space="preserve">CON IL CRITERIO DELL’OFFERTA ECONOMICAMENTE PIÙ VANTAGGIOSA SULLA BASE DEL MIGLIOR RAPPORTO QUALITÀ/PREZZO </w:t>
      </w:r>
      <w:r w:rsidR="00815A00" w:rsidRPr="00815A00">
        <w:rPr>
          <w:rFonts w:asciiTheme="minorHAnsi" w:hAnsiTheme="minorHAnsi" w:cstheme="minorHAnsi"/>
          <w:b/>
          <w:caps/>
          <w:sz w:val="20"/>
          <w:szCs w:val="20"/>
        </w:rPr>
        <w:t xml:space="preserve">NELL’AMBITO DEL PIANO NAZIONALE RIPRESA E RESILIENZA (PNRR) MISSIONE 4 COMPONENTE 2 </w:t>
      </w:r>
      <w:r w:rsidR="00815A00" w:rsidRPr="00815A00">
        <w:rPr>
          <w:rFonts w:asciiTheme="minorHAnsi" w:hAnsiTheme="minorHAnsi" w:cstheme="minorHAnsi"/>
          <w:b/>
          <w:i/>
          <w:iCs/>
          <w:caps/>
          <w:sz w:val="20"/>
          <w:szCs w:val="20"/>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815A00" w:rsidRPr="00815A00">
        <w:rPr>
          <w:rFonts w:asciiTheme="minorHAnsi" w:hAnsiTheme="minorHAnsi" w:cstheme="minorHAnsi"/>
          <w:b/>
          <w:caps/>
          <w:sz w:val="20"/>
          <w:szCs w:val="20"/>
        </w:rPr>
        <w:t>CIG [</w:t>
      </w:r>
      <w:r w:rsidR="00815A00" w:rsidRPr="00815A00">
        <w:rPr>
          <w:rFonts w:asciiTheme="minorHAnsi" w:hAnsiTheme="minorHAnsi" w:cstheme="minorHAnsi"/>
          <w:b/>
          <w:caps/>
          <w:sz w:val="20"/>
          <w:szCs w:val="20"/>
          <w:highlight w:val="yellow"/>
        </w:rPr>
        <w:t>COMPLETARE</w:t>
      </w:r>
      <w:r w:rsidR="00815A00" w:rsidRPr="00815A00">
        <w:rPr>
          <w:rFonts w:asciiTheme="minorHAnsi" w:hAnsiTheme="minorHAnsi" w:cstheme="minorHAnsi"/>
          <w:b/>
          <w:caps/>
          <w:sz w:val="20"/>
          <w:szCs w:val="20"/>
        </w:rPr>
        <w:t>]</w:t>
      </w:r>
    </w:p>
    <w:p w14:paraId="666B2170" w14:textId="77777777" w:rsidR="00815A00" w:rsidRDefault="00815A00" w:rsidP="00857355">
      <w:pPr>
        <w:contextualSpacing/>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2B3DDA88" w:rsidR="00414EBD" w:rsidRPr="000012CF"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0012CF" w:rsidRPr="000012CF">
        <w:rPr>
          <w:rFonts w:asciiTheme="minorHAnsi" w:hAnsiTheme="minorHAnsi" w:cstheme="minorHAnsi"/>
          <w:bCs/>
          <w:caps/>
        </w:rPr>
        <w:t>[</w:t>
      </w:r>
      <w:r w:rsidR="000012CF" w:rsidRPr="000012CF">
        <w:rPr>
          <w:rFonts w:asciiTheme="minorHAnsi" w:hAnsiTheme="minorHAnsi" w:cstheme="minorHAnsi"/>
          <w:bCs/>
          <w:highlight w:val="yellow"/>
        </w:rPr>
        <w:t>completare</w:t>
      </w:r>
      <w:r w:rsidR="000012CF" w:rsidRPr="000012CF">
        <w:rPr>
          <w:rFonts w:asciiTheme="minorHAnsi" w:hAnsiTheme="minorHAnsi" w:cstheme="minorHAnsi"/>
          <w:bCs/>
        </w:rPr>
        <w:t>]</w:t>
      </w:r>
    </w:p>
    <w:p w14:paraId="23679674" w14:textId="756BDA79"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lastRenderedPageBreak/>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individuato/i  il/i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A69D195"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lastRenderedPageBreak/>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48CE54B5" w14:textId="77F1E20A" w:rsidR="00CC3242" w:rsidRPr="00CC3242" w:rsidRDefault="00414EBD" w:rsidP="00CC3242">
      <w:pPr>
        <w:jc w:val="both"/>
        <w:rPr>
          <w:rFonts w:asciiTheme="minorHAnsi" w:hAnsiTheme="minorHAnsi" w:cstheme="minorHAnsi"/>
          <w:bCs/>
        </w:rPr>
      </w:pPr>
      <w:r w:rsidRPr="00414EBD">
        <w:rPr>
          <w:rFonts w:asciiTheme="minorHAnsi" w:hAnsiTheme="minorHAnsi" w:cstheme="minorHAnsi"/>
          <w:b/>
        </w:rPr>
        <w:t>D</w:t>
      </w:r>
      <w:r w:rsidR="00CC3242">
        <w:rPr>
          <w:rFonts w:asciiTheme="minorHAnsi" w:hAnsiTheme="minorHAnsi" w:cstheme="minorHAnsi"/>
          <w:b/>
        </w:rPr>
        <w:t>A ATTO</w:t>
      </w:r>
      <w:r w:rsidRPr="00414EBD">
        <w:rPr>
          <w:rFonts w:asciiTheme="minorHAnsi" w:hAnsiTheme="minorHAnsi" w:cstheme="minorHAnsi"/>
          <w:b/>
        </w:rPr>
        <w:t xml:space="preserve">, </w:t>
      </w:r>
      <w:r w:rsidR="00CC3242" w:rsidRPr="00CC3242">
        <w:rPr>
          <w:rFonts w:asciiTheme="minorHAnsi" w:hAnsiTheme="minorHAnsi" w:cstheme="minorHAnsi"/>
          <w:bCs/>
        </w:rPr>
        <w:t>che alla luce di quanto indicato nella Circolare MUR del 14 novembre 2024 “ PNRR – Circolare attuativa ai sensi del Regolamento (UE) 2021/241 articolo 22 “Tutela degli interessi finanziari dell’Unione” – Indicazioni operative in merito alle attività di competenza dei Soggetti attuatori degli interventi finanziati a valere sulla Missione 4,Componenti</w:t>
      </w:r>
      <w:r w:rsidR="00CC3242" w:rsidRPr="00CC3242">
        <w:rPr>
          <w:rFonts w:asciiTheme="minorHAnsi" w:hAnsiTheme="minorHAnsi" w:cstheme="minorHAnsi"/>
          <w:b/>
        </w:rPr>
        <w:t xml:space="preserve"> </w:t>
      </w:r>
      <w:r w:rsidR="00CC3242" w:rsidRPr="00CC3242">
        <w:rPr>
          <w:rFonts w:asciiTheme="minorHAnsi" w:hAnsiTheme="minorHAnsi" w:cstheme="minorHAnsi"/>
          <w:bCs/>
        </w:rPr>
        <w:t>1 e 2 del PNRR in materia di titolarità effettiva, conflitto di interessi e doppio finanziamento”</w:t>
      </w:r>
      <w:r w:rsidR="00CC3242">
        <w:rPr>
          <w:rFonts w:asciiTheme="minorHAnsi" w:hAnsiTheme="minorHAnsi" w:cstheme="minorHAnsi"/>
          <w:bCs/>
        </w:rPr>
        <w:t>,</w:t>
      </w:r>
      <w:r w:rsidR="00CC3242" w:rsidRPr="00CC3242">
        <w:rPr>
          <w:i/>
          <w:iCs/>
          <w:color w:val="212121"/>
        </w:rPr>
        <w:t xml:space="preserve"> </w:t>
      </w:r>
      <w:r w:rsidR="00CC3242" w:rsidRPr="00CC3242">
        <w:rPr>
          <w:rFonts w:asciiTheme="minorHAnsi" w:hAnsiTheme="minorHAnsi" w:cstheme="minorHAnsi"/>
          <w:bCs/>
        </w:rPr>
        <w:t xml:space="preserve">la conoscenza dei dati della/e titolarità effettiva/e resa possibile nell’ambito del PNRR dall’obbligo di comunicazione imposto dal Regolamento (UE) 2021/241, consente di ritenere la dichiarazione resa nel DGUE non solo potenzialmente, ma effettivamente comprensiva anche dell’assenza di conflitto di </w:t>
      </w:r>
      <w:r w:rsidR="00CC3242" w:rsidRPr="00CC3242">
        <w:rPr>
          <w:rFonts w:asciiTheme="minorHAnsi" w:hAnsiTheme="minorHAnsi" w:cstheme="minorHAnsi"/>
          <w:bCs/>
        </w:rPr>
        <w:lastRenderedPageBreak/>
        <w:t>interessi in capo al/i titolare/i effettivo/i.</w:t>
      </w:r>
    </w:p>
    <w:p w14:paraId="5E070DE5" w14:textId="77777777" w:rsidR="00CC3242" w:rsidRDefault="00CC3242" w:rsidP="00B20BF8">
      <w:pPr>
        <w:pStyle w:val="usoboll1"/>
        <w:spacing w:line="240" w:lineRule="auto"/>
        <w:rPr>
          <w:rFonts w:asciiTheme="minorHAnsi" w:hAnsiTheme="minorHAnsi" w:cstheme="minorHAnsi"/>
          <w:sz w:val="22"/>
          <w:szCs w:val="22"/>
        </w:rPr>
      </w:pP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411DB2">
      <w:headerReference w:type="even" r:id="rId11"/>
      <w:headerReference w:type="default" r:id="rId12"/>
      <w:footerReference w:type="even" r:id="rId13"/>
      <w:footerReference w:type="default" r:id="rId14"/>
      <w:headerReference w:type="first" r:id="rId15"/>
      <w:footerReference w:type="first" r:id="rId16"/>
      <w:pgSz w:w="11920" w:h="16850"/>
      <w:pgMar w:top="1898"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346AC" w14:textId="77777777" w:rsidR="007D3ECA" w:rsidRDefault="007D3ECA">
      <w:r>
        <w:separator/>
      </w:r>
    </w:p>
  </w:endnote>
  <w:endnote w:type="continuationSeparator" w:id="0">
    <w:p w14:paraId="08122F7A" w14:textId="77777777" w:rsidR="007D3ECA" w:rsidRDefault="007D3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8A505" w14:textId="77777777" w:rsidR="00ED7E5A" w:rsidRDefault="00ED7E5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B8DE2" w14:textId="77777777" w:rsidR="00ED7E5A" w:rsidRPr="009A77BC" w:rsidRDefault="00ED7E5A" w:rsidP="00ED7E5A">
    <w:pPr>
      <w:ind w:left="284" w:hanging="1135"/>
      <w:jc w:val="both"/>
      <w:rPr>
        <w:rFonts w:ascii="Calibri" w:eastAsia="Calibri" w:hAnsi="Calibri"/>
        <w:b/>
        <w:bCs/>
        <w:i/>
        <w:color w:val="4F81BD"/>
        <w:sz w:val="15"/>
        <w:szCs w:val="15"/>
      </w:rPr>
    </w:pPr>
    <w:r>
      <w:rPr>
        <w:noProof/>
      </w:rPr>
      <w:drawing>
        <wp:anchor distT="0" distB="0" distL="114300" distR="114300" simplePos="0" relativeHeight="251663360" behindDoc="0" locked="0" layoutInCell="1" allowOverlap="1" wp14:anchorId="5EE60642" wp14:editId="398AFD6D">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4290435" wp14:editId="54933547">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27CF1BF4" w14:textId="77777777" w:rsidR="00ED7E5A" w:rsidRPr="00F36A54" w:rsidRDefault="00ED7E5A" w:rsidP="00ED7E5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4F701510" w14:textId="77777777" w:rsidR="00ED7E5A" w:rsidRPr="00F36A54" w:rsidRDefault="00ED7E5A" w:rsidP="00ED7E5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19E4F436" w14:textId="77777777" w:rsidR="00ED7E5A" w:rsidRPr="00F36A54" w:rsidRDefault="00ED7E5A" w:rsidP="00ED7E5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7F797695" w14:textId="77777777" w:rsidR="00ED7E5A" w:rsidRPr="00F36A54" w:rsidRDefault="00ED7E5A" w:rsidP="00ED7E5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71C73075" w14:textId="77777777" w:rsidR="00ED7E5A" w:rsidRPr="00F36A54" w:rsidRDefault="00ED7E5A" w:rsidP="00ED7E5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019ADBCA" w14:textId="77777777" w:rsidR="00ED7E5A" w:rsidRPr="009A77BC" w:rsidRDefault="00ED7E5A" w:rsidP="00ED7E5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2CEE7B6C" w14:textId="77777777" w:rsidR="00ED7E5A" w:rsidRPr="00275314" w:rsidRDefault="00ED7E5A" w:rsidP="00ED7E5A">
    <w:pPr>
      <w:ind w:left="709"/>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5401AA10" w14:textId="77777777" w:rsidR="00ED7E5A" w:rsidRDefault="00ED7E5A" w:rsidP="00ED7E5A">
    <w:pPr>
      <w:pStyle w:val="Pidipagina"/>
      <w:tabs>
        <w:tab w:val="clear" w:pos="9638"/>
      </w:tabs>
      <w:ind w:left="-1134" w:right="360"/>
      <w:jc w:val="center"/>
      <w:rPr>
        <w:noProof/>
      </w:rPr>
    </w:pPr>
  </w:p>
  <w:p w14:paraId="0A9E44CC" w14:textId="2E409B1E" w:rsidR="00A75C22" w:rsidRPr="00ED7E5A" w:rsidRDefault="00A75C22" w:rsidP="00ED7E5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AB5AD" w14:textId="77777777" w:rsidR="00ED7E5A" w:rsidRDefault="00ED7E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9F7FA" w14:textId="77777777" w:rsidR="007D3ECA" w:rsidRDefault="007D3ECA">
      <w:r>
        <w:separator/>
      </w:r>
    </w:p>
  </w:footnote>
  <w:footnote w:type="continuationSeparator" w:id="0">
    <w:p w14:paraId="5220F01C" w14:textId="77777777" w:rsidR="007D3ECA" w:rsidRDefault="007D3ECA">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CD137" w14:textId="77777777" w:rsidR="00ED7E5A" w:rsidRDefault="00ED7E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AB4FC" w14:textId="139317A9" w:rsidR="00550ED3" w:rsidRDefault="00411DB2" w:rsidP="004B4FD4">
    <w:pPr>
      <w:pStyle w:val="Corpotesto"/>
      <w:spacing w:line="14" w:lineRule="auto"/>
      <w:ind w:left="-851"/>
      <w:rPr>
        <w:sz w:val="20"/>
      </w:rPr>
    </w:pPr>
    <w:r>
      <w:rPr>
        <w:noProof/>
      </w:rPr>
      <w:drawing>
        <wp:anchor distT="0" distB="0" distL="114300" distR="114300" simplePos="0" relativeHeight="251661312" behindDoc="1" locked="0" layoutInCell="1" allowOverlap="1" wp14:anchorId="0CFF5D15" wp14:editId="4C0B9BC4">
          <wp:simplePos x="0" y="0"/>
          <wp:positionH relativeFrom="column">
            <wp:posOffset>-504190</wp:posOffset>
          </wp:positionH>
          <wp:positionV relativeFrom="paragraph">
            <wp:posOffset>24393</wp:posOffset>
          </wp:positionV>
          <wp:extent cx="7239000" cy="1044484"/>
          <wp:effectExtent l="0" t="0" r="0" b="0"/>
          <wp:wrapNone/>
          <wp:docPr id="36117116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FC678" w14:textId="77777777" w:rsidR="00ED7E5A" w:rsidRDefault="00ED7E5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364D1"/>
    <w:rsid w:val="000555D1"/>
    <w:rsid w:val="0005794C"/>
    <w:rsid w:val="00067BAE"/>
    <w:rsid w:val="00102B94"/>
    <w:rsid w:val="001678E0"/>
    <w:rsid w:val="001A4216"/>
    <w:rsid w:val="00295FCA"/>
    <w:rsid w:val="003009ED"/>
    <w:rsid w:val="0036423D"/>
    <w:rsid w:val="003C3C7B"/>
    <w:rsid w:val="003D2941"/>
    <w:rsid w:val="003F522F"/>
    <w:rsid w:val="00411DB2"/>
    <w:rsid w:val="00414EBD"/>
    <w:rsid w:val="004A70C7"/>
    <w:rsid w:val="004B4FD4"/>
    <w:rsid w:val="004D212F"/>
    <w:rsid w:val="00550ED3"/>
    <w:rsid w:val="00577A3C"/>
    <w:rsid w:val="0058337C"/>
    <w:rsid w:val="005B2E59"/>
    <w:rsid w:val="00622F84"/>
    <w:rsid w:val="0072639B"/>
    <w:rsid w:val="00731D6E"/>
    <w:rsid w:val="0073773F"/>
    <w:rsid w:val="007A636E"/>
    <w:rsid w:val="007C1874"/>
    <w:rsid w:val="007D3ECA"/>
    <w:rsid w:val="0080006D"/>
    <w:rsid w:val="00815A00"/>
    <w:rsid w:val="00857355"/>
    <w:rsid w:val="008C2FD8"/>
    <w:rsid w:val="008D2C6C"/>
    <w:rsid w:val="008D311F"/>
    <w:rsid w:val="00934F87"/>
    <w:rsid w:val="009C4E1F"/>
    <w:rsid w:val="00A33146"/>
    <w:rsid w:val="00A75C22"/>
    <w:rsid w:val="00AB2C65"/>
    <w:rsid w:val="00AD7A0D"/>
    <w:rsid w:val="00B20BF8"/>
    <w:rsid w:val="00B33DF1"/>
    <w:rsid w:val="00B67904"/>
    <w:rsid w:val="00BA0433"/>
    <w:rsid w:val="00BB6548"/>
    <w:rsid w:val="00BC39FD"/>
    <w:rsid w:val="00C17F79"/>
    <w:rsid w:val="00C32F52"/>
    <w:rsid w:val="00C61FF5"/>
    <w:rsid w:val="00CC3242"/>
    <w:rsid w:val="00D043AE"/>
    <w:rsid w:val="00D04EA5"/>
    <w:rsid w:val="00E02FA5"/>
    <w:rsid w:val="00E463B4"/>
    <w:rsid w:val="00E72167"/>
    <w:rsid w:val="00ED7E5A"/>
    <w:rsid w:val="00EF6E53"/>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qFormat/>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4.xml><?xml version="1.0" encoding="utf-8"?>
<ds:datastoreItem xmlns:ds="http://schemas.openxmlformats.org/officeDocument/2006/customXml" ds:itemID="{0F29CEDD-3FAD-49E4-A321-836427BD06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1002</Words>
  <Characters>5713</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MARCO BRACOLONI</cp:lastModifiedBy>
  <cp:revision>6</cp:revision>
  <dcterms:created xsi:type="dcterms:W3CDTF">2025-01-22T10:50:00Z</dcterms:created>
  <dcterms:modified xsi:type="dcterms:W3CDTF">2025-03-22T23:22:00Z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