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D9348" w14:textId="77777777" w:rsidR="00D37DB0" w:rsidRPr="004D6C6E" w:rsidRDefault="00AC0461" w:rsidP="00D37DB0">
      <w:pPr>
        <w:jc w:val="right"/>
        <w:rPr>
          <w:rFonts w:cstheme="minorHAnsi"/>
          <w:i/>
          <w:sz w:val="22"/>
          <w:szCs w:val="22"/>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D37DB0" w:rsidRPr="004D6C6E">
        <w:rPr>
          <w:rFonts w:cstheme="minorHAnsi"/>
          <w:i/>
          <w:sz w:val="22"/>
          <w:szCs w:val="22"/>
        </w:rPr>
        <w:t xml:space="preserve">Alla Stazione Appaltante </w:t>
      </w:r>
    </w:p>
    <w:p w14:paraId="62580E84" w14:textId="77777777" w:rsidR="00D37DB0" w:rsidRPr="004D6C6E" w:rsidRDefault="00D37DB0" w:rsidP="00D37DB0">
      <w:pPr>
        <w:jc w:val="right"/>
        <w:rPr>
          <w:rFonts w:cstheme="minorHAnsi"/>
          <w:i/>
          <w:sz w:val="22"/>
          <w:szCs w:val="22"/>
        </w:rPr>
      </w:pPr>
      <w:r w:rsidRPr="004D6C6E">
        <w:rPr>
          <w:rFonts w:cstheme="minorHAnsi"/>
          <w:i/>
          <w:sz w:val="22"/>
          <w:szCs w:val="22"/>
        </w:rPr>
        <w:t xml:space="preserve"> Istituto per il Rilevamento</w:t>
      </w:r>
    </w:p>
    <w:p w14:paraId="6731C43A" w14:textId="77777777" w:rsidR="00D37DB0" w:rsidRPr="004D6C6E" w:rsidRDefault="00D37DB0" w:rsidP="00D37DB0">
      <w:pPr>
        <w:jc w:val="right"/>
        <w:rPr>
          <w:rFonts w:cstheme="minorHAnsi"/>
          <w:i/>
          <w:sz w:val="22"/>
          <w:szCs w:val="22"/>
        </w:rPr>
      </w:pPr>
      <w:r w:rsidRPr="004D6C6E">
        <w:rPr>
          <w:rFonts w:cstheme="minorHAnsi"/>
          <w:i/>
          <w:sz w:val="22"/>
          <w:szCs w:val="22"/>
        </w:rPr>
        <w:t xml:space="preserve">                                                                                                                                              Elettromagnetico dell’Ambiente </w:t>
      </w:r>
    </w:p>
    <w:p w14:paraId="7B41E2F2" w14:textId="77777777" w:rsidR="00D37DB0" w:rsidRPr="004D6C6E" w:rsidRDefault="00D37DB0" w:rsidP="00D37DB0">
      <w:pPr>
        <w:jc w:val="right"/>
        <w:rPr>
          <w:rFonts w:cstheme="minorHAnsi"/>
          <w:i/>
          <w:sz w:val="22"/>
          <w:szCs w:val="22"/>
        </w:rPr>
      </w:pPr>
      <w:r w:rsidRPr="004D6C6E">
        <w:rPr>
          <w:rFonts w:cstheme="minorHAnsi"/>
          <w:i/>
          <w:sz w:val="22"/>
          <w:szCs w:val="22"/>
        </w:rPr>
        <w:t xml:space="preserve">                                                     del Consiglio Nazionale </w:t>
      </w:r>
    </w:p>
    <w:p w14:paraId="29AC641D" w14:textId="77777777" w:rsidR="00D37DB0" w:rsidRPr="004D6C6E" w:rsidRDefault="00D37DB0" w:rsidP="00D37DB0">
      <w:pPr>
        <w:jc w:val="right"/>
        <w:rPr>
          <w:rFonts w:cstheme="minorHAnsi"/>
          <w:i/>
          <w:sz w:val="22"/>
          <w:szCs w:val="22"/>
        </w:rPr>
      </w:pPr>
      <w:r w:rsidRPr="004D6C6E">
        <w:rPr>
          <w:rFonts w:cstheme="minorHAnsi"/>
          <w:i/>
          <w:sz w:val="22"/>
          <w:szCs w:val="22"/>
        </w:rPr>
        <w:t>delle Ricerche (IREA-CNR)</w:t>
      </w:r>
    </w:p>
    <w:p w14:paraId="01EB2EAB" w14:textId="6127D7C5" w:rsidR="00F100E4" w:rsidRPr="008F6C7A" w:rsidRDefault="00F100E4" w:rsidP="00D37DB0">
      <w:pPr>
        <w:pStyle w:val="Intestazione"/>
        <w:tabs>
          <w:tab w:val="left" w:pos="5245"/>
          <w:tab w:val="left" w:pos="5387"/>
        </w:tabs>
        <w:ind w:right="27"/>
        <w:rPr>
          <w:rFonts w:cstheme="minorHAnsi"/>
          <w:sz w:val="21"/>
          <w:szCs w:val="21"/>
        </w:rPr>
      </w:pPr>
    </w:p>
    <w:p w14:paraId="6C5B75E5" w14:textId="71FB663B" w:rsidR="000A1C87" w:rsidRDefault="00281B9E" w:rsidP="00DE027D">
      <w:pPr>
        <w:jc w:val="both"/>
        <w:rPr>
          <w:rFonts w:cstheme="minorHAnsi"/>
          <w:b/>
          <w:sz w:val="22"/>
          <w:szCs w:val="22"/>
        </w:rPr>
      </w:pPr>
      <w:r w:rsidRPr="7B4E4830">
        <w:rPr>
          <w:b/>
          <w:bCs/>
          <w:sz w:val="21"/>
          <w:szCs w:val="21"/>
        </w:rPr>
        <w:t>OGGETTO</w:t>
      </w:r>
      <w:r w:rsidRPr="7B4E4830">
        <w:rPr>
          <w:sz w:val="21"/>
          <w:szCs w:val="21"/>
        </w:rPr>
        <w:t xml:space="preserve">: </w:t>
      </w:r>
      <w:r w:rsidR="0059121C" w:rsidRPr="004D6C6E">
        <w:rPr>
          <w:rFonts w:cstheme="minorHAnsi"/>
          <w:b/>
          <w:sz w:val="22"/>
          <w:szCs w:val="22"/>
        </w:rPr>
        <w:t xml:space="preserve">INDAGINE ESPLORATIVA DI MERCATO VOLTA A RACCOGLIERE PREVENTIVI INFORMALI FINALIZZATI ALL’AFFIDAMENTO </w:t>
      </w:r>
      <w:r w:rsidR="0059121C" w:rsidRPr="00B65ECE">
        <w:rPr>
          <w:rFonts w:cstheme="minorHAnsi"/>
          <w:b/>
          <w:sz w:val="22"/>
          <w:szCs w:val="22"/>
        </w:rPr>
        <w:t>DI UNA FORNITURE DI DISPOSITIVI ELETTRONICI NELL’AMBITO DEL PIANO NAZIONALE RIPRESA E RESILIENZA (PNRR) MISSIONE 4, COMPONENTE 2, INVESTIMENTO 3.1 PROGETTO “FONDO PER LA REALIZZAZIONE DI UN SISTEMA INTEGRATO DI INFRASTRUTTURE DI RICERCA E INNOVAZIONE” PROGETTO ITINERIS CUP B53C22002150006</w:t>
      </w:r>
    </w:p>
    <w:p w14:paraId="548DCEA2" w14:textId="77777777" w:rsidR="0059121C" w:rsidRPr="00DE027D" w:rsidRDefault="0059121C"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w:t>
      </w:r>
      <w:proofErr w:type="spellStart"/>
      <w:r w:rsidRPr="008F6C7A">
        <w:rPr>
          <w:rFonts w:cstheme="minorHAnsi"/>
          <w:sz w:val="21"/>
          <w:szCs w:val="21"/>
        </w:rPr>
        <w:t>Prov</w:t>
      </w:r>
      <w:proofErr w:type="spellEnd"/>
      <w:r w:rsidRPr="008F6C7A">
        <w:rPr>
          <w:rFonts w:cstheme="minorHAnsi"/>
          <w:sz w:val="21"/>
          <w:szCs w:val="21"/>
        </w:rPr>
        <w:t xml:space="preserve">.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68091805" w14:textId="77777777" w:rsidR="0059121C" w:rsidRDefault="009C6FC8" w:rsidP="0059121C">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2DA9EC1" w:rsidR="005E1746" w:rsidRPr="0059121C" w:rsidRDefault="005E1746" w:rsidP="0059121C">
      <w:pPr>
        <w:jc w:val="both"/>
        <w:rPr>
          <w:rFonts w:cstheme="minorHAnsi"/>
          <w:sz w:val="21"/>
          <w:szCs w:val="21"/>
        </w:rPr>
      </w:pP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2A4A0B7B"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proofErr w:type="gramStart"/>
      <w:r w:rsidR="00466BEF" w:rsidRPr="00466BEF">
        <w:rPr>
          <w:rFonts w:eastAsia="Calibri"/>
          <w:i/>
          <w:iCs/>
          <w:sz w:val="21"/>
          <w:szCs w:val="21"/>
        </w:rPr>
        <w:t>)</w:t>
      </w:r>
      <w:r w:rsidR="00466BEF">
        <w:rPr>
          <w:rFonts w:eastAsia="Calibri"/>
          <w:sz w:val="21"/>
          <w:szCs w:val="21"/>
        </w:rPr>
        <w:t xml:space="preserve"> </w:t>
      </w:r>
      <w:r w:rsidR="00B3273E">
        <w:rPr>
          <w:rFonts w:eastAsia="Calibri"/>
          <w:sz w:val="21"/>
          <w:szCs w:val="21"/>
        </w:rPr>
        <w:t>;</w:t>
      </w:r>
      <w:proofErr w:type="gramEnd"/>
    </w:p>
    <w:p w14:paraId="496D646E" w14:textId="61137376"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sidR="00B3273E">
        <w:rPr>
          <w:rFonts w:eastAsia="Calibri"/>
          <w:sz w:val="21"/>
          <w:szCs w:val="21"/>
        </w:rPr>
        <w:t>);</w:t>
      </w:r>
    </w:p>
    <w:p w14:paraId="27016F92" w14:textId="44A0A25B"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B3273E">
        <w:rPr>
          <w:rFonts w:eastAsia="Calibri"/>
          <w:sz w:val="21"/>
          <w:szCs w:val="21"/>
        </w:rPr>
        <w:t xml:space="preserve">; </w:t>
      </w:r>
      <w:bookmarkStart w:id="0" w:name="_GoBack"/>
      <w:bookmarkEnd w:id="0"/>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lastRenderedPageBreak/>
        <w:t xml:space="preserve"> (nel caso di operatori economici residenti in Paesi terzi firmatari dell'AAP o di altri accordi internazionali di cui all'art. 69 del </w:t>
      </w:r>
      <w:proofErr w:type="spellStart"/>
      <w:proofErr w:type="gram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proofErr w:type="gram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3C476F">
      <w:headerReference w:type="even" r:id="rId11"/>
      <w:headerReference w:type="default" r:id="rId12"/>
      <w:footerReference w:type="even" r:id="rId13"/>
      <w:footerReference w:type="default" r:id="rId14"/>
      <w:headerReference w:type="first" r:id="rId15"/>
      <w:footerReference w:type="first" r:id="rId16"/>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E0F70" w14:textId="77777777" w:rsidR="00415F1B" w:rsidRDefault="00415F1B" w:rsidP="00A20920">
      <w:r>
        <w:separator/>
      </w:r>
    </w:p>
  </w:endnote>
  <w:endnote w:type="continuationSeparator" w:id="0">
    <w:p w14:paraId="1655D71B" w14:textId="77777777" w:rsidR="00415F1B" w:rsidRDefault="00415F1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F28A2" w14:textId="77777777" w:rsidR="00F13D53" w:rsidRDefault="00F13D5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03AD1" w14:textId="4F4E6E44" w:rsidR="00F13D53" w:rsidRDefault="00F13D53" w:rsidP="00F13D53">
    <w:pPr>
      <w:pStyle w:val="Pidipagina"/>
      <w:rPr>
        <w:rFonts w:ascii="Arial Unicode MS" w:eastAsia="Arial Unicode MS" w:hAnsi="Arial Unicode MS" w:cs="Arial Unicode MS"/>
        <w:color w:val="244061"/>
        <w:sz w:val="16"/>
        <w:szCs w:val="16"/>
      </w:rPr>
    </w:pPr>
    <w:r>
      <w:t xml:space="preserve">                                                                                                                </w:t>
    </w:r>
    <w:hyperlink r:id="rId1" w:history="1">
      <w:r w:rsidRPr="00747D03">
        <w:rPr>
          <w:rStyle w:val="Collegamentoipertestuale"/>
          <w:rFonts w:ascii="Arial Unicode MS" w:eastAsia="Arial Unicode MS" w:hAnsi="Arial Unicode MS" w:cs="Arial Unicode MS"/>
        </w:rPr>
        <w:t>amministrazione@irea.cnr.it</w:t>
      </w:r>
    </w:hyperlink>
  </w:p>
  <w:p w14:paraId="20BD60B0" w14:textId="77777777" w:rsidR="00F13D53" w:rsidRPr="00895E2A" w:rsidRDefault="00F13D53" w:rsidP="00F13D53">
    <w:pPr>
      <w:pStyle w:val="Pidipagina"/>
      <w:rPr>
        <w:lang w:val="en-GB"/>
      </w:rPr>
    </w:pPr>
    <w:r>
      <w:rPr>
        <w:rFonts w:ascii="Arial Unicode MS" w:eastAsia="Arial Unicode MS" w:hAnsi="Arial Unicode MS" w:cs="Arial Unicode MS"/>
        <w:color w:val="244061"/>
        <w:sz w:val="16"/>
        <w:szCs w:val="16"/>
      </w:rPr>
      <w:t xml:space="preserve">I-80124 </w:t>
    </w:r>
    <w:proofErr w:type="gramStart"/>
    <w:r>
      <w:rPr>
        <w:rFonts w:ascii="Arial Unicode MS" w:eastAsia="Arial Unicode MS" w:hAnsi="Arial Unicode MS" w:cs="Arial Unicode MS"/>
        <w:color w:val="244061"/>
        <w:sz w:val="16"/>
        <w:szCs w:val="16"/>
      </w:rPr>
      <w:t>NAPOLI  Via</w:t>
    </w:r>
    <w:proofErr w:type="gramEnd"/>
    <w:r>
      <w:rPr>
        <w:rFonts w:ascii="Arial Unicode MS" w:eastAsia="Arial Unicode MS" w:hAnsi="Arial Unicode MS" w:cs="Arial Unicode MS"/>
        <w:color w:val="244061"/>
        <w:sz w:val="16"/>
        <w:szCs w:val="16"/>
      </w:rPr>
      <w:t xml:space="preserve"> Diocleziano, 328  tel. </w:t>
    </w:r>
    <w:r w:rsidRPr="007643E5">
      <w:rPr>
        <w:rFonts w:ascii="Arial Unicode MS" w:eastAsia="Arial Unicode MS" w:hAnsi="Arial Unicode MS" w:cs="Arial Unicode MS"/>
        <w:color w:val="244061"/>
        <w:sz w:val="16"/>
        <w:szCs w:val="16"/>
        <w:lang w:val="en-US"/>
      </w:rPr>
      <w:t xml:space="preserve">+39 081 7620611  fax  +39 081 5705734  Cod. </w:t>
    </w:r>
    <w:proofErr w:type="spellStart"/>
    <w:r w:rsidRPr="007643E5">
      <w:rPr>
        <w:rFonts w:ascii="Arial Unicode MS" w:eastAsia="Arial Unicode MS" w:hAnsi="Arial Unicode MS" w:cs="Arial Unicode MS"/>
        <w:color w:val="244061"/>
        <w:sz w:val="16"/>
        <w:szCs w:val="16"/>
        <w:lang w:val="en-US"/>
      </w:rPr>
      <w:t>Fisc</w:t>
    </w:r>
    <w:proofErr w:type="spellEnd"/>
    <w:r w:rsidRPr="007643E5">
      <w:rPr>
        <w:rFonts w:ascii="Arial Unicode MS" w:eastAsia="Arial Unicode MS" w:hAnsi="Arial Unicode MS" w:cs="Arial Unicode MS"/>
        <w:color w:val="244061"/>
        <w:sz w:val="16"/>
        <w:szCs w:val="16"/>
        <w:lang w:val="en-US"/>
      </w:rPr>
      <w:t xml:space="preserve">.  </w:t>
    </w:r>
    <w:proofErr w:type="gramStart"/>
    <w:r w:rsidRPr="007643E5">
      <w:rPr>
        <w:rFonts w:ascii="Arial Unicode MS" w:eastAsia="Arial Unicode MS" w:hAnsi="Arial Unicode MS" w:cs="Arial Unicode MS"/>
        <w:color w:val="244061"/>
        <w:sz w:val="16"/>
        <w:szCs w:val="16"/>
        <w:lang w:val="en-US"/>
      </w:rPr>
      <w:t>80054330586  Part</w:t>
    </w:r>
    <w:proofErr w:type="gramEnd"/>
    <w:r w:rsidRPr="007643E5">
      <w:rPr>
        <w:rFonts w:ascii="Arial Unicode MS" w:eastAsia="Arial Unicode MS" w:hAnsi="Arial Unicode MS" w:cs="Arial Unicode MS"/>
        <w:color w:val="244061"/>
        <w:sz w:val="16"/>
        <w:szCs w:val="16"/>
        <w:lang w:val="en-US"/>
      </w:rPr>
      <w:t>. IVA 02118311006</w:t>
    </w:r>
  </w:p>
  <w:p w14:paraId="1C32F49D" w14:textId="77777777" w:rsidR="00F13D53" w:rsidRDefault="00F13D53" w:rsidP="00F13D53">
    <w:pPr>
      <w:pStyle w:val="Pidipagina"/>
      <w:tabs>
        <w:tab w:val="clear" w:pos="9638"/>
      </w:tabs>
      <w:rPr>
        <w:noProof/>
        <w:lang w:eastAsia="it-IT"/>
      </w:rPr>
    </w:pPr>
    <w:r w:rsidRPr="007351F8">
      <w:rPr>
        <w:noProof/>
        <w:lang w:val="en-GB" w:eastAsia="it-IT"/>
      </w:rPr>
      <w:t xml:space="preserve">                                                      </w:t>
    </w:r>
    <w:r w:rsidRPr="00773725">
      <w:rPr>
        <w:noProof/>
        <w:lang w:eastAsia="it-IT"/>
      </w:rPr>
      <w:drawing>
        <wp:inline distT="0" distB="0" distL="0" distR="0" wp14:anchorId="69DEF91C" wp14:editId="2A078B5A">
          <wp:extent cx="1740322" cy="3714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9286" cy="373388"/>
                  </a:xfrm>
                  <a:prstGeom prst="rect">
                    <a:avLst/>
                  </a:prstGeom>
                  <a:noFill/>
                  <a:ln>
                    <a:noFill/>
                  </a:ln>
                </pic:spPr>
              </pic:pic>
            </a:graphicData>
          </a:graphic>
        </wp:inline>
      </w:drawing>
    </w:r>
    <w:r>
      <w:rPr>
        <w:noProof/>
        <w:lang w:eastAsia="it-IT"/>
      </w:rPr>
      <w:t xml:space="preserve">                                                </w:t>
    </w:r>
  </w:p>
  <w:p w14:paraId="59EF5CE8" w14:textId="3548FF77"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B3273E">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B3273E">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03537" w14:textId="77777777" w:rsidR="00F13D53" w:rsidRDefault="00F13D5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C5144" w14:textId="77777777" w:rsidR="00415F1B" w:rsidRDefault="00415F1B" w:rsidP="00A20920">
      <w:r>
        <w:separator/>
      </w:r>
    </w:p>
  </w:footnote>
  <w:footnote w:type="continuationSeparator" w:id="0">
    <w:p w14:paraId="4FE148DB" w14:textId="77777777" w:rsidR="00415F1B" w:rsidRDefault="00415F1B"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EC1A0" w14:textId="77777777" w:rsidR="00F13D53" w:rsidRDefault="00F13D5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4BB8" w14:textId="5BCF5E5D" w:rsidR="00F56A10" w:rsidRDefault="00F56A10" w:rsidP="00F56A10">
    <w:pPr>
      <w:pStyle w:val="Intestazione"/>
      <w:tabs>
        <w:tab w:val="clear" w:pos="9638"/>
      </w:tabs>
      <w:ind w:left="-1134" w:right="-1134"/>
      <w:rPr>
        <w:noProof/>
        <w:lang w:eastAsia="it-IT"/>
      </w:rPr>
    </w:pPr>
    <w:r>
      <w:rPr>
        <w:noProof/>
        <w:lang w:eastAsia="it-IT"/>
      </w:rPr>
      <w:t xml:space="preserve">      </w:t>
    </w:r>
    <w:r>
      <w:rPr>
        <w:noProof/>
        <w:lang w:eastAsia="it-IT"/>
      </w:rPr>
      <w:drawing>
        <wp:inline distT="0" distB="0" distL="0" distR="0" wp14:anchorId="38DF75D4" wp14:editId="6FB8271F">
          <wp:extent cx="7046184" cy="1009498"/>
          <wp:effectExtent l="0" t="0" r="2540" b="635"/>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oscien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6184" cy="1009498"/>
                  </a:xfrm>
                  <a:prstGeom prst="rect">
                    <a:avLst/>
                  </a:prstGeom>
                </pic:spPr>
              </pic:pic>
            </a:graphicData>
          </a:graphic>
        </wp:inline>
      </w:drawing>
    </w:r>
  </w:p>
  <w:p w14:paraId="4755926F" w14:textId="77777777" w:rsidR="00F56A10" w:rsidRPr="00FE23E7" w:rsidRDefault="00F56A10" w:rsidP="00F56A10">
    <w:pPr>
      <w:pStyle w:val="Intestazione"/>
      <w:tabs>
        <w:tab w:val="clear" w:pos="9638"/>
        <w:tab w:val="right" w:pos="9900"/>
      </w:tabs>
      <w:ind w:left="-360" w:right="-262"/>
      <w:jc w:val="both"/>
      <w:rPr>
        <w:rFonts w:ascii="Calibri" w:hAnsi="Calibri" w:cs="Calibri"/>
        <w:b/>
        <w:color w:val="2F5496" w:themeColor="accent1" w:themeShade="BF"/>
        <w:sz w:val="16"/>
        <w:szCs w:val="16"/>
        <w14:shadow w14:blurRad="50800" w14:dist="38100" w14:dir="2700000" w14:sx="100000" w14:sy="100000" w14:kx="0" w14:ky="0" w14:algn="tl">
          <w14:srgbClr w14:val="000000">
            <w14:alpha w14:val="60000"/>
          </w14:srgbClr>
        </w14:shadow>
      </w:rPr>
    </w:pPr>
    <w:r w:rsidRPr="00810656">
      <w:rPr>
        <w:noProof/>
        <w:color w:val="2F5496" w:themeColor="accent1" w:themeShade="BF"/>
        <w:lang w:eastAsia="it-IT"/>
      </w:rPr>
      <w:tab/>
    </w:r>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 xml:space="preserve">Progetto ITINERIS – IR - </w:t>
    </w:r>
    <w:proofErr w:type="spellStart"/>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Italian</w:t>
    </w:r>
    <w:proofErr w:type="spellEnd"/>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 xml:space="preserve"> </w:t>
    </w:r>
    <w:proofErr w:type="spellStart"/>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Integrated</w:t>
    </w:r>
    <w:proofErr w:type="spellEnd"/>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 xml:space="preserve"> </w:t>
    </w:r>
    <w:proofErr w:type="spellStart"/>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Environmental</w:t>
    </w:r>
    <w:proofErr w:type="spellEnd"/>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 xml:space="preserve"> </w:t>
    </w:r>
    <w:proofErr w:type="spellStart"/>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Research</w:t>
    </w:r>
    <w:proofErr w:type="spellEnd"/>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 xml:space="preserve"> </w:t>
    </w:r>
    <w:proofErr w:type="spellStart"/>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Infrastructures</w:t>
    </w:r>
    <w:proofErr w:type="spellEnd"/>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 xml:space="preserve"> System”</w:t>
    </w:r>
    <w:r>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 xml:space="preserve"> </w:t>
    </w:r>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PIANO NAZIONALE DI RIPRESA E RESILIENZA (PNRR) Missione 4, Componente 2,</w:t>
    </w:r>
    <w:r>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 xml:space="preserve"> </w:t>
    </w:r>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Investimento 3.1 “Fondo per la realizzazione di un sistema</w:t>
    </w:r>
    <w:r>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 xml:space="preserve"> integrato di infrastrutture di </w:t>
    </w:r>
    <w:r w:rsidRPr="00FE23E7">
      <w:rPr>
        <w:rFonts w:ascii="Calibri" w:hAnsi="Calibri" w:cs="Calibri"/>
        <w:color w:val="2F5496" w:themeColor="accent1" w:themeShade="BF"/>
        <w:sz w:val="16"/>
        <w:szCs w:val="16"/>
        <w14:shadow w14:blurRad="50800" w14:dist="38100" w14:dir="2700000" w14:sx="100000" w14:sy="100000" w14:kx="0" w14:ky="0" w14:algn="tl">
          <w14:srgbClr w14:val="000000">
            <w14:alpha w14:val="60000"/>
          </w14:srgbClr>
        </w14:shadow>
      </w:rPr>
      <w:t>ricerca e innovazione” - CUP B53C22002150006</w:t>
    </w:r>
  </w:p>
  <w:p w14:paraId="4FA9943A" w14:textId="6B5A1D05" w:rsidR="0021431F" w:rsidRDefault="0021431F" w:rsidP="00F56A10">
    <w:pPr>
      <w:pStyle w:val="Intestazion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F339" w14:textId="77777777" w:rsidR="00F13D53" w:rsidRDefault="00F13D5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5F1B"/>
    <w:rsid w:val="004166C0"/>
    <w:rsid w:val="00435330"/>
    <w:rsid w:val="004366FB"/>
    <w:rsid w:val="004468CE"/>
    <w:rsid w:val="004573C7"/>
    <w:rsid w:val="00466BEF"/>
    <w:rsid w:val="00477C48"/>
    <w:rsid w:val="00487D56"/>
    <w:rsid w:val="004A767F"/>
    <w:rsid w:val="004B7877"/>
    <w:rsid w:val="004C04D1"/>
    <w:rsid w:val="004D1AA2"/>
    <w:rsid w:val="004D4086"/>
    <w:rsid w:val="00526C7A"/>
    <w:rsid w:val="00531D0C"/>
    <w:rsid w:val="00537F02"/>
    <w:rsid w:val="00547702"/>
    <w:rsid w:val="005553D6"/>
    <w:rsid w:val="00563302"/>
    <w:rsid w:val="00572114"/>
    <w:rsid w:val="00574637"/>
    <w:rsid w:val="0059121C"/>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3273E"/>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04D8"/>
    <w:rsid w:val="00C53C10"/>
    <w:rsid w:val="00C64AB3"/>
    <w:rsid w:val="00C65DA0"/>
    <w:rsid w:val="00C913E7"/>
    <w:rsid w:val="00CB5289"/>
    <w:rsid w:val="00CC2351"/>
    <w:rsid w:val="00CD4BFA"/>
    <w:rsid w:val="00CD788C"/>
    <w:rsid w:val="00CE2065"/>
    <w:rsid w:val="00D14830"/>
    <w:rsid w:val="00D1796C"/>
    <w:rsid w:val="00D37DB0"/>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3D53"/>
    <w:rsid w:val="00F16DC9"/>
    <w:rsid w:val="00F17BC6"/>
    <w:rsid w:val="00F3204C"/>
    <w:rsid w:val="00F3235A"/>
    <w:rsid w:val="00F372DA"/>
    <w:rsid w:val="00F43889"/>
    <w:rsid w:val="00F47CDC"/>
    <w:rsid w:val="00F56A10"/>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7F734420-EBCB-4F09-8E98-79A158AA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iPriority w:val="99"/>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amministrazione@irea.cnr.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3E7F2-C581-459D-B379-36FF8CB3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559</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Carputo</cp:lastModifiedBy>
  <cp:revision>2</cp:revision>
  <cp:lastPrinted>2023-05-30T17:09:00Z</cp:lastPrinted>
  <dcterms:created xsi:type="dcterms:W3CDTF">2024-03-04T08:47:00Z</dcterms:created>
  <dcterms:modified xsi:type="dcterms:W3CDTF">2025-07-25T09:50:00Z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