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5F6966DC" w:rsidR="00E40958" w:rsidRDefault="0051663D" w:rsidP="00E64CC8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6A5007">
        <w:rPr>
          <w:rStyle w:val="Hyperlink1"/>
          <w:rFonts w:cstheme="minorHAnsi"/>
        </w:rPr>
        <w:t xml:space="preserve">della fornitura </w:t>
      </w:r>
      <w:r w:rsidR="00E64CC8" w:rsidRPr="00E64CC8">
        <w:rPr>
          <w:rStyle w:val="Hyperlink1"/>
          <w:rFonts w:cstheme="minorHAnsi"/>
        </w:rPr>
        <w:t>DI DUE COMPUTER DESKTOP, TRE MONITOR E DUE SISTEMI DI SCHEDE NATIONAL</w:t>
      </w:r>
      <w:r w:rsidR="00E64CC8">
        <w:rPr>
          <w:rStyle w:val="Hyperlink1"/>
          <w:rFonts w:cstheme="minorHAnsi"/>
        </w:rPr>
        <w:t xml:space="preserve"> </w:t>
      </w:r>
      <w:r w:rsidR="00E64CC8" w:rsidRPr="00E64CC8">
        <w:rPr>
          <w:rStyle w:val="Hyperlink1"/>
          <w:rFonts w:cstheme="minorHAnsi"/>
        </w:rPr>
        <w:t>INSTRUMENTS (NI) DI ACQUISIZIONE DATI PER LA REALIZZAZIONE DEL SISTEMA DI ACQUISIZIONE E GESTIONE</w:t>
      </w:r>
      <w:r w:rsidR="00E64CC8">
        <w:rPr>
          <w:rStyle w:val="Hyperlink1"/>
          <w:rFonts w:cstheme="minorHAnsi"/>
        </w:rPr>
        <w:t xml:space="preserve"> </w:t>
      </w:r>
      <w:r w:rsidR="00E64CC8" w:rsidRPr="00E64CC8">
        <w:rPr>
          <w:rStyle w:val="Hyperlink1"/>
          <w:rFonts w:cstheme="minorHAnsi"/>
        </w:rPr>
        <w:t>DELLE MISURE E DELLE STRUMENTAZIONI PER LA SPERIMENTAZIONE DI MOTORI IN CELLA CLIMATICA</w:t>
      </w:r>
      <w:r w:rsidR="002345FB" w:rsidRPr="002345FB">
        <w:rPr>
          <w:rStyle w:val="Hyperlink1"/>
          <w:rFonts w:cstheme="minorHAnsi"/>
        </w:rPr>
        <w:t xml:space="preserve"> NELL’AMBITO DEL PIANO NAZIONALE RIPRESA 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RESILIENZA (PNRR) MISSIONE 4 COMPONENTE 2 INVESTIMENTO 1.4 PROGETTO “Centro Nazionale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 xml:space="preserve">Mobilità Sostenibile (CNMS-MOST) - </w:t>
      </w:r>
      <w:proofErr w:type="spellStart"/>
      <w:r w:rsidR="002345FB" w:rsidRPr="002345FB">
        <w:rPr>
          <w:rStyle w:val="Hyperlink1"/>
          <w:rFonts w:cstheme="minorHAnsi"/>
        </w:rPr>
        <w:t>spoke</w:t>
      </w:r>
      <w:proofErr w:type="spellEnd"/>
      <w:r w:rsidR="002345FB" w:rsidRPr="002345FB">
        <w:rPr>
          <w:rStyle w:val="Hyperlink1"/>
          <w:rFonts w:cstheme="minorHAnsi"/>
        </w:rPr>
        <w:t xml:space="preserve"> 12" [CN00000023,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>
        <w:rPr>
          <w:rStyle w:val="Hyperlink1"/>
          <w:rFonts w:cstheme="minorHAnsi"/>
          <w:b/>
          <w:bCs/>
        </w:rPr>
        <w:t>Protection</w:t>
      </w:r>
      <w:proofErr w:type="spellEnd"/>
      <w:r>
        <w:rPr>
          <w:rStyle w:val="Hyperlink1"/>
          <w:rFonts w:cstheme="minorHAnsi"/>
          <w:b/>
          <w:bCs/>
        </w:rPr>
        <w:t xml:space="preserve"> </w:t>
      </w:r>
      <w:proofErr w:type="spellStart"/>
      <w:r>
        <w:rPr>
          <w:rStyle w:val="Hyperlink1"/>
          <w:rFonts w:cstheme="minorHAnsi"/>
          <w:b/>
          <w:bCs/>
        </w:rPr>
        <w:t>Officer</w:t>
      </w:r>
      <w:proofErr w:type="spellEnd"/>
      <w:r>
        <w:rPr>
          <w:rStyle w:val="Hyperlink1"/>
          <w:rFonts w:cstheme="minorHAnsi"/>
          <w:b/>
          <w:bCs/>
        </w:rPr>
        <w:t>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>
        <w:rPr>
          <w:rStyle w:val="Hyperlink2"/>
          <w:rFonts w:asciiTheme="minorHAnsi" w:hAnsiTheme="minorHAnsi" w:cstheme="minorHAnsi"/>
        </w:rPr>
        <w:t>s.m.i.</w:t>
      </w:r>
      <w:proofErr w:type="spellEnd"/>
      <w:r>
        <w:rPr>
          <w:rStyle w:val="Hyperlink2"/>
          <w:rFonts w:asciiTheme="minorHAnsi" w:hAnsiTheme="minorHAnsi" w:cstheme="minorHAnsi"/>
        </w:rPr>
        <w:t>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bookmarkStart w:id="0" w:name="_GoBack"/>
      <w:bookmarkEnd w:id="0"/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legale rappresentante (nome e cognome, social security code, </w:t>
      </w:r>
      <w:proofErr w:type="spellStart"/>
      <w:r>
        <w:rPr>
          <w:rFonts w:eastAsia="Times New Roman" w:cstheme="minorHAnsi"/>
          <w:sz w:val="24"/>
          <w:szCs w:val="24"/>
        </w:rPr>
        <w:t>national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insurance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istituzione/compagnia/azienda (denominazione, indirizzo completo,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and VAT </w:t>
      </w:r>
      <w:proofErr w:type="spellStart"/>
      <w:r>
        <w:rPr>
          <w:rFonts w:eastAsia="Times New Roman" w:cstheme="minorHAnsi"/>
          <w:sz w:val="24"/>
          <w:szCs w:val="24"/>
        </w:rPr>
        <w:t>numbers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trattamento non prevede alcun processo decisionale automatizzato, compresa la </w:t>
      </w:r>
      <w:proofErr w:type="spellStart"/>
      <w:r>
        <w:rPr>
          <w:rFonts w:eastAsia="Times New Roman" w:cstheme="minorHAnsi"/>
          <w:sz w:val="24"/>
          <w:szCs w:val="24"/>
        </w:rPr>
        <w:t>profilazione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lastRenderedPageBreak/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2345FB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9F6F00"/>
    <w:rsid w:val="00A269D3"/>
    <w:rsid w:val="00A82062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baa28a6c-abea-4922-a9a6-e04d3157d48d"/>
    <ds:schemaRef ds:uri="http://schemas.microsoft.com/office/2006/documentManagement/types"/>
    <ds:schemaRef ds:uri="http://schemas.microsoft.com/office/2006/metadata/properties"/>
    <ds:schemaRef ds:uri="63d8bf8e-75a8-4324-ac39-25d999c3647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BC5ACD-44FE-4721-9922-50649F4B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13</cp:revision>
  <cp:lastPrinted>2025-04-11T14:50:00Z</cp:lastPrinted>
  <dcterms:created xsi:type="dcterms:W3CDTF">2025-04-11T14:27:00Z</dcterms:created>
  <dcterms:modified xsi:type="dcterms:W3CDTF">2025-07-31T07:26:00Z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