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A9E" w14:textId="77777777" w:rsidR="007A6E8C" w:rsidRDefault="007A6E8C">
      <w:r>
        <w:separator/>
      </w:r>
    </w:p>
  </w:endnote>
  <w:endnote w:type="continuationSeparator" w:id="0">
    <w:p w14:paraId="51EFFCB7"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4DF" w14:textId="77777777" w:rsidR="007A6E8C" w:rsidRDefault="007A6E8C">
      <w:r>
        <w:separator/>
      </w:r>
    </w:p>
  </w:footnote>
  <w:footnote w:type="continuationSeparator" w:id="0">
    <w:p w14:paraId="09E7B663"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4.xml><?xml version="1.0" encoding="utf-8"?>
<ds:datastoreItem xmlns:ds="http://schemas.openxmlformats.org/officeDocument/2006/customXml" ds:itemID="{4868FB25-F906-4E4E-906D-1420638E04B0}"/>
</file>

<file path=docProps/app.xml><?xml version="1.0" encoding="utf-8"?>
<Properties xmlns="http://schemas.openxmlformats.org/officeDocument/2006/extended-properties" xmlns:vt="http://schemas.openxmlformats.org/officeDocument/2006/docPropsVTypes">
  <Template>Normal.dotm</Template>
  <TotalTime>2</TotalTime>
  <Pages>5</Pages>
  <Words>612</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ANGELA LAMPIS</cp:lastModifiedBy>
  <cp:revision>4</cp:revision>
  <cp:lastPrinted>2016-02-08T09:19:00Z</cp:lastPrinted>
  <dcterms:created xsi:type="dcterms:W3CDTF">2025-07-11T13:27:00Z</dcterms:created>
  <dcterms:modified xsi:type="dcterms:W3CDTF">2025-07-11T13:28:00Z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