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3E9AD5DF" w:rsidR="00C77B98" w:rsidRPr="005F6AF7" w:rsidRDefault="00672112" w:rsidP="006756B7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Bidi"/>
          <w:b/>
          <w:bCs/>
          <w:sz w:val="21"/>
          <w:szCs w:val="21"/>
        </w:rPr>
      </w:pPr>
      <w:r w:rsidRPr="7CD30049">
        <w:rPr>
          <w:rStyle w:val="Hyperlink1"/>
          <w:rFonts w:asciiTheme="minorHAnsi" w:hAnsiTheme="minorHAnsi" w:cstheme="minorBidi"/>
        </w:rPr>
        <w:t xml:space="preserve">La presente informativa descrive le misure di tutela riguardo al trattamento dei dati personali </w:t>
      </w:r>
      <w:r w:rsidR="00843320" w:rsidRPr="7CD30049">
        <w:rPr>
          <w:rStyle w:val="Hyperlink1"/>
          <w:rFonts w:asciiTheme="minorHAnsi" w:hAnsiTheme="minorHAnsi" w:cstheme="minorBidi"/>
        </w:rPr>
        <w:t>destinata a</w:t>
      </w:r>
      <w:r w:rsidR="001A7F98" w:rsidRPr="7CD30049">
        <w:rPr>
          <w:rStyle w:val="Hyperlink1"/>
          <w:rFonts w:asciiTheme="minorHAnsi" w:hAnsiTheme="minorHAnsi" w:cstheme="minorBidi"/>
        </w:rPr>
        <w:t xml:space="preserve">i fornitori </w:t>
      </w:r>
      <w:r w:rsidR="00DC4DD2" w:rsidRPr="7CD30049">
        <w:rPr>
          <w:rStyle w:val="Hyperlink1"/>
          <w:rFonts w:asciiTheme="minorHAnsi" w:hAnsiTheme="minorHAnsi" w:cstheme="minorBidi"/>
        </w:rPr>
        <w:t xml:space="preserve">di </w:t>
      </w:r>
      <w:r w:rsidR="005F6AF7" w:rsidRPr="7CD30049">
        <w:rPr>
          <w:rStyle w:val="Hyperlink1"/>
          <w:rFonts w:asciiTheme="minorHAnsi" w:hAnsiTheme="minorHAnsi" w:cstheme="minorBidi"/>
        </w:rPr>
        <w:t>lavori</w:t>
      </w:r>
      <w:r w:rsidR="0046386F" w:rsidRPr="7CD30049">
        <w:rPr>
          <w:rStyle w:val="Hyperlink1"/>
          <w:rFonts w:asciiTheme="minorHAnsi" w:hAnsiTheme="minorHAnsi" w:cstheme="minorBidi"/>
        </w:rPr>
        <w:t>,</w:t>
      </w:r>
      <w:r w:rsidR="007158DF" w:rsidRPr="7CD30049">
        <w:rPr>
          <w:rStyle w:val="Hyperlink1"/>
          <w:rFonts w:asciiTheme="minorHAnsi" w:hAnsiTheme="minorHAnsi" w:cstheme="minorBidi"/>
        </w:rPr>
        <w:t xml:space="preserve"> nell’ambito </w:t>
      </w:r>
      <w:r w:rsidR="006756B7">
        <w:rPr>
          <w:rStyle w:val="Hyperlink1"/>
          <w:rFonts w:asciiTheme="minorHAnsi" w:hAnsiTheme="minorHAnsi" w:cstheme="minorBidi"/>
        </w:rPr>
        <w:t>DELL</w:t>
      </w:r>
      <w:r w:rsidR="006756B7" w:rsidRPr="006756B7">
        <w:rPr>
          <w:rStyle w:val="Hyperlink1"/>
          <w:rFonts w:asciiTheme="minorHAnsi" w:hAnsiTheme="minorHAnsi" w:cstheme="minorBidi"/>
        </w:rPr>
        <w:t>’AFFIDAMENTO DI LAVORI PROPEDEUTICI ALL’ATTIVAZIONE DI UNA CELLA CLIMATICA DELLA SALA PROVA D2, NELL’AMBITO DELL’AMBITO DEL PROGETTO FLAGSHIP LINEA B “HYDROGEN ENGINE TRUCK AND</w:t>
      </w:r>
      <w:r w:rsidR="006756B7">
        <w:rPr>
          <w:rStyle w:val="Hyperlink1"/>
          <w:rFonts w:asciiTheme="minorHAnsi" w:hAnsiTheme="minorHAnsi" w:cstheme="minorBidi"/>
        </w:rPr>
        <w:t xml:space="preserve"> </w:t>
      </w:r>
      <w:bookmarkStart w:id="0" w:name="_GoBack"/>
      <w:bookmarkEnd w:id="0"/>
      <w:r w:rsidR="006756B7" w:rsidRPr="006756B7">
        <w:rPr>
          <w:rStyle w:val="Hyperlink1"/>
          <w:rFonts w:asciiTheme="minorHAnsi" w:hAnsiTheme="minorHAnsi" w:cstheme="minorBidi"/>
        </w:rPr>
        <w:t xml:space="preserve">INFRASTRUCTURE – RETRAIN” DEL PIANO NAZIONALE RIPRESA E RESILIENZA PNRR MISSIONE 4 COMPONENTE 2 INVESTIMENTO 1.4 PROGETTO “centro nazionale mobilità sostenibile (CNMS-MOST) - </w:t>
      </w:r>
      <w:proofErr w:type="spellStart"/>
      <w:r w:rsidR="006756B7" w:rsidRPr="006756B7">
        <w:rPr>
          <w:rStyle w:val="Hyperlink1"/>
          <w:rFonts w:asciiTheme="minorHAnsi" w:hAnsiTheme="minorHAnsi" w:cstheme="minorBidi"/>
        </w:rPr>
        <w:t>spoke</w:t>
      </w:r>
      <w:proofErr w:type="spellEnd"/>
      <w:r w:rsidR="006756B7" w:rsidRPr="006756B7">
        <w:rPr>
          <w:rStyle w:val="Hyperlink1"/>
          <w:rFonts w:asciiTheme="minorHAnsi" w:hAnsiTheme="minorHAnsi" w:cstheme="minorBidi"/>
        </w:rPr>
        <w:t xml:space="preserve"> 12" [CN00000023, CUP B43C2200040001</w:t>
      </w:r>
      <w:r w:rsidR="00F15FF9" w:rsidRPr="7CD30049">
        <w:rPr>
          <w:rStyle w:val="Hyperlink1"/>
          <w:rFonts w:asciiTheme="minorHAnsi" w:hAnsiTheme="minorHAnsi" w:cstheme="minorBidi"/>
        </w:rPr>
        <w:t xml:space="preserve">, </w:t>
      </w:r>
      <w:r w:rsidRPr="7CD30049">
        <w:rPr>
          <w:rStyle w:val="Hyperlink1"/>
          <w:rFonts w:asciiTheme="minorHAnsi" w:hAnsiTheme="minorHAnsi" w:cstheme="minorBidi"/>
        </w:rPr>
        <w:t xml:space="preserve">ai sensi dell’articolo 13 del Regolamento </w:t>
      </w:r>
      <w:r w:rsidR="00F332D8" w:rsidRPr="7CD30049">
        <w:rPr>
          <w:rStyle w:val="Hyperlink1"/>
          <w:rFonts w:asciiTheme="minorHAnsi" w:hAnsiTheme="minorHAnsi" w:cstheme="minorBidi"/>
        </w:rPr>
        <w:t>UE 2016/679</w:t>
      </w:r>
      <w:r w:rsidRPr="7CD30049">
        <w:rPr>
          <w:rStyle w:val="Hyperlink1"/>
          <w:rFonts w:asciiTheme="minorHAnsi" w:hAnsiTheme="minorHAnsi" w:cstheme="minorBidi"/>
        </w:rPr>
        <w:t xml:space="preserve"> in materia di protezione dei dati personali (di seguito, per brevità, GDPR)</w:t>
      </w:r>
      <w:r w:rsidR="00B962E1" w:rsidRPr="7CD30049">
        <w:rPr>
          <w:rStyle w:val="Hyperlink1"/>
          <w:rFonts w:asciiTheme="minorHAnsi" w:hAnsiTheme="minorHAnsi" w:cstheme="minorBid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74F2EA57" w14:textId="308C86DC" w:rsidR="005F6AF7" w:rsidRPr="005F6AF7" w:rsidRDefault="005F6AF7" w:rsidP="7CD30049">
      <w:pPr>
        <w:spacing w:before="240" w:after="120" w:line="20" w:lineRule="atLeast"/>
        <w:jc w:val="both"/>
        <w:rPr>
          <w:rStyle w:val="Hyperlink1"/>
          <w:rFonts w:asciiTheme="minorHAnsi" w:hAnsiTheme="minorHAnsi" w:cstheme="minorBidi"/>
        </w:rPr>
      </w:pPr>
      <w:r w:rsidRPr="7CD30049">
        <w:rPr>
          <w:rStyle w:val="Hyperlink1"/>
          <w:rFonts w:asciiTheme="minorHAnsi" w:hAnsiTheme="minorHAnsi" w:cstheme="minorBidi"/>
        </w:rPr>
        <w:t xml:space="preserve"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>
        <w:r w:rsidRPr="7CD30049">
          <w:rPr>
            <w:rStyle w:val="Collegamentoipertestuale"/>
            <w:rFonts w:asciiTheme="minorHAnsi" w:hAnsiTheme="minorHAnsi" w:cstheme="minorBidi"/>
          </w:rPr>
          <w:t>direttore.stems@pec.cnr.it</w:t>
        </w:r>
      </w:hyperlink>
      <w:r w:rsidRPr="7CD30049">
        <w:rPr>
          <w:rStyle w:val="Hyperlink1"/>
          <w:rFonts w:asciiTheme="minorHAnsi" w:hAnsiTheme="minorHAnsi" w:cstheme="minorBidi"/>
        </w:rPr>
        <w:t>.</w:t>
      </w:r>
      <w:r w:rsidR="72B2AF39" w:rsidRPr="7CD30049">
        <w:rPr>
          <w:rStyle w:val="Hyperlink1"/>
          <w:rFonts w:asciiTheme="minorHAnsi" w:hAnsiTheme="minorHAnsi" w:cstheme="minorBidi"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08AF9E9C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F15FF9">
        <w:rPr>
          <w:rStyle w:val="Hyperlink2"/>
          <w:rFonts w:asciiTheme="minorHAnsi" w:hAnsiTheme="minorHAnsi" w:cstheme="minorHAnsi"/>
        </w:rPr>
        <w:t xml:space="preserve">e Anticorruzione 7/2023 e </w:t>
      </w:r>
      <w:proofErr w:type="spellStart"/>
      <w:r w:rsidR="00F15FF9">
        <w:rPr>
          <w:rStyle w:val="Hyperlink2"/>
          <w:rFonts w:asciiTheme="minorHAnsi" w:hAnsiTheme="minorHAnsi" w:cstheme="minorHAnsi"/>
        </w:rPr>
        <w:t>s.m.i.</w:t>
      </w:r>
      <w:proofErr w:type="spellEnd"/>
      <w:r w:rsidR="00F15FF9">
        <w:rPr>
          <w:rStyle w:val="Hyperlink2"/>
          <w:rFonts w:asciiTheme="minorHAnsi" w:hAnsiTheme="minorHAnsi" w:cstheme="minorHAnsi"/>
        </w:rPr>
        <w:t xml:space="preserve">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trattamento non prevede alcun processo decisionale automatizzato, compresa la </w:t>
      </w:r>
      <w:proofErr w:type="spellStart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profilazione</w:t>
      </w:r>
      <w:proofErr w:type="spellEnd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FA0F" w14:textId="77777777" w:rsidR="00AF6B21" w:rsidRDefault="00AF6B21">
      <w:pPr>
        <w:spacing w:after="0" w:line="240" w:lineRule="auto"/>
      </w:pPr>
      <w:r>
        <w:separator/>
      </w:r>
    </w:p>
  </w:endnote>
  <w:endnote w:type="continuationSeparator" w:id="0">
    <w:p w14:paraId="378765AC" w14:textId="77777777" w:rsidR="00AF6B21" w:rsidRDefault="00AF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E343B" w14:textId="77777777" w:rsidR="00AF6B21" w:rsidRDefault="00AF6B21">
      <w:pPr>
        <w:spacing w:after="0" w:line="240" w:lineRule="auto"/>
      </w:pPr>
      <w:r>
        <w:separator/>
      </w:r>
    </w:p>
  </w:footnote>
  <w:footnote w:type="continuationSeparator" w:id="0">
    <w:p w14:paraId="01E62A90" w14:textId="77777777" w:rsidR="00AF6B21" w:rsidRDefault="00AF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756B7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AF6B21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5FF9"/>
    <w:rsid w:val="00F1736A"/>
    <w:rsid w:val="00F332D8"/>
    <w:rsid w:val="00F445E7"/>
    <w:rsid w:val="00F5334C"/>
    <w:rsid w:val="00FB2FCC"/>
    <w:rsid w:val="00FC5E0C"/>
    <w:rsid w:val="00FE246A"/>
    <w:rsid w:val="00FE7E81"/>
    <w:rsid w:val="06AE9621"/>
    <w:rsid w:val="4B205B31"/>
    <w:rsid w:val="72B2AF39"/>
    <w:rsid w:val="7CD3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212aad02ca861d9e5c4a13fa314e085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f27af0d1cf5a4f90bc5fbe178e04c0ca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BB313-7886-418C-A51A-F743D4ACA23E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3.xml><?xml version="1.0" encoding="utf-8"?>
<ds:datastoreItem xmlns:ds="http://schemas.openxmlformats.org/officeDocument/2006/customXml" ds:itemID="{F0656BD6-7241-4C5E-92A7-DB37935AB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6</cp:revision>
  <dcterms:created xsi:type="dcterms:W3CDTF">2025-06-13T09:26:00Z</dcterms:created>
  <dcterms:modified xsi:type="dcterms:W3CDTF">2026-02-03T08:22:00Z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